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05323">
      <w:pPr>
        <w:widowControl/>
        <w:jc w:val="center"/>
        <w:rPr>
          <w:rStyle w:val="12"/>
          <w:rFonts w:ascii="方正小标宋简体" w:hAnsi="方正小标宋简体" w:eastAsia="方正小标宋简体" w:cs="方正小标宋简体"/>
          <w:sz w:val="44"/>
          <w:szCs w:val="44"/>
          <w:shd w:val="clear" w:color="auto" w:fill="FFFFFF"/>
        </w:rPr>
      </w:pPr>
      <w:r>
        <w:rPr>
          <w:rStyle w:val="12"/>
          <w:rFonts w:hint="eastAsia" w:ascii="方正小标宋简体" w:hAnsi="方正小标宋简体" w:eastAsia="方正小标宋简体" w:cs="方正小标宋简体"/>
          <w:sz w:val="44"/>
          <w:szCs w:val="44"/>
          <w:shd w:val="clear" w:color="auto" w:fill="FFFFFF"/>
        </w:rPr>
        <w:t>2025年武汉理工大学                  国际学生（研究生）招生简章</w:t>
      </w:r>
    </w:p>
    <w:p w14:paraId="1740CE09">
      <w:pPr>
        <w:widowControl/>
        <w:shd w:val="clear" w:color="auto" w:fill="FFFFFF"/>
        <w:spacing w:line="460" w:lineRule="exact"/>
        <w:jc w:val="left"/>
        <w:rPr>
          <w:rFonts w:ascii="黑体" w:hAnsi="黑体" w:eastAsia="黑体" w:cs="黑体"/>
          <w:b/>
          <w:bCs/>
          <w:kern w:val="0"/>
          <w:sz w:val="32"/>
          <w:szCs w:val="32"/>
        </w:rPr>
      </w:pPr>
      <w:r>
        <w:rPr>
          <w:rFonts w:hint="eastAsia" w:ascii="黑体" w:hAnsi="黑体" w:eastAsia="黑体" w:cs="黑体"/>
          <w:b/>
          <w:bCs/>
          <w:kern w:val="0"/>
          <w:sz w:val="32"/>
          <w:szCs w:val="32"/>
        </w:rPr>
        <w:t>一、学校简介</w:t>
      </w:r>
    </w:p>
    <w:p w14:paraId="43178200">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武汉理工大学是教育部直属全国重点大学，是首批列入国家“211工程”和“双一流”建设高校。学校办学历史起源于1898年，是中国建材建工、交通、汽车三大行业高层次人才培养和科技创新的重要基地。学校现有马房山校区、余家头校区和南湖校区，占地近4000亩，校舍总建筑面积195万平方米，4座现代化图书馆藏书407万余册。</w:t>
      </w:r>
    </w:p>
    <w:p w14:paraId="43A1B02A">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学校以工学为主，理、工、经、管、艺术、文、法等多学科相互融合、协调发展。现有一级学科博士学位授权点</w:t>
      </w:r>
      <w:r>
        <w:rPr>
          <w:rFonts w:ascii="仿宋_GB2312" w:hAnsi="仿宋_GB2312" w:eastAsia="仿宋_GB2312" w:cs="仿宋_GB2312"/>
          <w:kern w:val="0"/>
          <w:sz w:val="32"/>
          <w:szCs w:val="32"/>
        </w:rPr>
        <w:t>23</w:t>
      </w:r>
      <w:r>
        <w:rPr>
          <w:rFonts w:hint="eastAsia" w:ascii="仿宋_GB2312" w:hAnsi="仿宋_GB2312" w:eastAsia="仿宋_GB2312" w:cs="仿宋_GB2312"/>
          <w:kern w:val="0"/>
          <w:sz w:val="32"/>
          <w:szCs w:val="32"/>
        </w:rPr>
        <w:t>个，博士专业学位授权类别</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个，一级学科硕士学位授权点</w:t>
      </w:r>
      <w:r>
        <w:rPr>
          <w:rFonts w:ascii="仿宋_GB2312" w:hAnsi="仿宋_GB2312" w:eastAsia="仿宋_GB2312" w:cs="仿宋_GB2312"/>
          <w:kern w:val="0"/>
          <w:sz w:val="32"/>
          <w:szCs w:val="32"/>
        </w:rPr>
        <w:t>45</w:t>
      </w:r>
      <w:r>
        <w:rPr>
          <w:rFonts w:hint="eastAsia" w:ascii="仿宋_GB2312" w:hAnsi="仿宋_GB2312" w:eastAsia="仿宋_GB2312" w:cs="仿宋_GB2312"/>
          <w:kern w:val="0"/>
          <w:sz w:val="32"/>
          <w:szCs w:val="32"/>
        </w:rPr>
        <w:t>个，硕士专业学位授权类别</w:t>
      </w:r>
      <w:r>
        <w:rPr>
          <w:rFonts w:ascii="仿宋_GB2312" w:hAnsi="仿宋_GB2312" w:eastAsia="仿宋_GB2312" w:cs="仿宋_GB2312"/>
          <w:kern w:val="0"/>
          <w:sz w:val="32"/>
          <w:szCs w:val="32"/>
        </w:rPr>
        <w:t>27</w:t>
      </w:r>
      <w:r>
        <w:rPr>
          <w:rFonts w:hint="eastAsia" w:ascii="仿宋_GB2312" w:hAnsi="仿宋_GB2312" w:eastAsia="仿宋_GB2312" w:cs="仿宋_GB2312"/>
          <w:kern w:val="0"/>
          <w:sz w:val="32"/>
          <w:szCs w:val="32"/>
        </w:rPr>
        <w:t>个，本科专业10</w:t>
      </w:r>
      <w:r>
        <w:rPr>
          <w:rFonts w:hint="eastAsia" w:ascii="仿宋_GB2312" w:hAnsi="仿宋_GB2312" w:eastAsia="仿宋_GB2312" w:cs="仿宋_GB2312"/>
          <w:kern w:val="0"/>
          <w:sz w:val="32"/>
          <w:szCs w:val="32"/>
          <w:lang w:val="en-US" w:eastAsia="zh-CN"/>
        </w:rPr>
        <w:t>3</w:t>
      </w:r>
      <w:bookmarkStart w:id="2" w:name="_GoBack"/>
      <w:bookmarkEnd w:id="2"/>
      <w:r>
        <w:rPr>
          <w:rFonts w:hint="eastAsia" w:ascii="仿宋_GB2312" w:hAnsi="仿宋_GB2312" w:eastAsia="仿宋_GB2312" w:cs="仿宋_GB2312"/>
          <w:kern w:val="0"/>
          <w:sz w:val="32"/>
          <w:szCs w:val="32"/>
        </w:rPr>
        <w:t>个。学校建有52个国家级和省部级科研基地，3个省部级协同创新平台，204个科技合作与成果转化机构。学校与国外著名高校及研究机构建立了18个高水平国际研究合作平台、12个国家级国际科技合作基地，与美国、英国、日本、法国、加拿大、澳大利亚、俄罗斯、荷兰等国家和地区的190多所大学和科研机构建立了人才培养、学术交流及科研合作等关系，聘请了200余名国外著名学者担任学校战略科学家、客座教授和名誉教授等。学校围绕“建设让人民满意、让世人仰慕的优秀大学”的崇高大学理想，努力建设成为特色鲜明的世界一流大学。</w:t>
      </w:r>
    </w:p>
    <w:p w14:paraId="50BD9A6D">
      <w:pPr>
        <w:widowControl/>
        <w:numPr>
          <w:ilvl w:val="0"/>
          <w:numId w:val="1"/>
        </w:numPr>
        <w:shd w:val="clear" w:color="auto" w:fill="FFFFFF"/>
        <w:spacing w:line="276" w:lineRule="auto"/>
        <w:rPr>
          <w:rFonts w:ascii="黑体" w:hAnsi="黑体" w:eastAsia="黑体" w:cs="黑体"/>
          <w:b/>
          <w:bCs/>
          <w:kern w:val="0"/>
          <w:sz w:val="32"/>
          <w:szCs w:val="32"/>
        </w:rPr>
      </w:pPr>
      <w:r>
        <w:rPr>
          <w:rFonts w:hint="eastAsia" w:ascii="黑体" w:hAnsi="黑体" w:eastAsia="黑体" w:cs="黑体"/>
          <w:b/>
          <w:bCs/>
          <w:kern w:val="0"/>
          <w:sz w:val="32"/>
          <w:szCs w:val="32"/>
        </w:rPr>
        <w:t>招生专业</w:t>
      </w:r>
    </w:p>
    <w:p w14:paraId="44BCEB20">
      <w:pPr>
        <w:widowControl/>
        <w:shd w:val="clear" w:color="auto" w:fill="FFFFFF"/>
        <w:spacing w:line="276" w:lineRule="auto"/>
        <w:ind w:firstLine="640" w:firstLineChars="200"/>
        <w:rPr>
          <w:rFonts w:ascii="仿宋_GB2312" w:hAnsi="仿宋_GB2312" w:eastAsia="仿宋_GB2312" w:cs="仿宋_GB2312"/>
          <w:b/>
          <w:bCs/>
          <w:color w:val="3F3F3F"/>
          <w:kern w:val="0"/>
          <w:sz w:val="32"/>
          <w:szCs w:val="32"/>
        </w:rPr>
      </w:pPr>
      <w:r>
        <w:rPr>
          <w:rFonts w:hint="eastAsia" w:ascii="仿宋_GB2312" w:hAnsi="仿宋_GB2312" w:eastAsia="仿宋_GB2312" w:cs="仿宋_GB2312"/>
          <w:kern w:val="0"/>
          <w:sz w:val="32"/>
          <w:szCs w:val="32"/>
        </w:rPr>
        <w:t>（一）中文授课项目</w:t>
      </w:r>
    </w:p>
    <w:tbl>
      <w:tblPr>
        <w:tblStyle w:val="1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7138"/>
      </w:tblGrid>
      <w:tr w14:paraId="357D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79B96299">
            <w:pPr>
              <w:widowControl/>
              <w:spacing w:line="420" w:lineRule="atLeas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  学</w:t>
            </w:r>
          </w:p>
        </w:tc>
        <w:tc>
          <w:tcPr>
            <w:tcW w:w="7138" w:type="dxa"/>
            <w:vAlign w:val="center"/>
          </w:tcPr>
          <w:p w14:paraId="263B7AF2">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材料科学与工程；交通运输工程；船舶与海洋工程；机械工程；土木工程；建筑学；车辆工程；工业工程；计算机科学与技术；软件工程；电气工程；信息与通信工程；环境科学与工程；电子科学与技术；矿业工程；能源动力；力学；化学工程与技术；安全科学与工程等</w:t>
            </w:r>
          </w:p>
        </w:tc>
      </w:tr>
      <w:tr w14:paraId="4EF7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3535A411">
            <w:pPr>
              <w:widowControl/>
              <w:spacing w:line="420" w:lineRule="atLeas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理  学</w:t>
            </w:r>
          </w:p>
        </w:tc>
        <w:tc>
          <w:tcPr>
            <w:tcW w:w="7138" w:type="dxa"/>
            <w:vAlign w:val="center"/>
          </w:tcPr>
          <w:p w14:paraId="3026111D">
            <w:pPr>
              <w:widowControl/>
              <w:spacing w:line="420" w:lineRule="atLeas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化学；数学；物理学；统计学</w:t>
            </w:r>
          </w:p>
        </w:tc>
      </w:tr>
      <w:tr w14:paraId="4045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72B319F6">
            <w:pPr>
              <w:widowControl/>
              <w:spacing w:line="420" w:lineRule="atLeas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管理学</w:t>
            </w:r>
          </w:p>
        </w:tc>
        <w:tc>
          <w:tcPr>
            <w:tcW w:w="7138" w:type="dxa"/>
            <w:vAlign w:val="center"/>
          </w:tcPr>
          <w:p w14:paraId="349524EB">
            <w:pPr>
              <w:widowControl/>
              <w:spacing w:line="420" w:lineRule="atLeas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工商管理学；公共管理学；管理科学与工程</w:t>
            </w:r>
          </w:p>
        </w:tc>
      </w:tr>
      <w:tr w14:paraId="2D2D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0BD55737">
            <w:pPr>
              <w:widowControl/>
              <w:spacing w:line="420" w:lineRule="atLeas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经济学</w:t>
            </w:r>
          </w:p>
        </w:tc>
        <w:tc>
          <w:tcPr>
            <w:tcW w:w="7138" w:type="dxa"/>
            <w:vAlign w:val="center"/>
          </w:tcPr>
          <w:p w14:paraId="40F99F17">
            <w:pPr>
              <w:widowControl/>
              <w:spacing w:line="420" w:lineRule="atLeas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应用经济学；金融；国际商务</w:t>
            </w:r>
          </w:p>
        </w:tc>
      </w:tr>
      <w:tr w14:paraId="0208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57B3EB46">
            <w:pPr>
              <w:widowControl/>
              <w:spacing w:line="420" w:lineRule="atLeas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  学</w:t>
            </w:r>
          </w:p>
        </w:tc>
        <w:tc>
          <w:tcPr>
            <w:tcW w:w="7138" w:type="dxa"/>
            <w:vAlign w:val="center"/>
          </w:tcPr>
          <w:p w14:paraId="553C08A7">
            <w:pPr>
              <w:widowControl/>
              <w:spacing w:line="420" w:lineRule="atLeas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法学；社会工作；政治学</w:t>
            </w:r>
          </w:p>
        </w:tc>
      </w:tr>
      <w:tr w14:paraId="1DA9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128830E1">
            <w:pPr>
              <w:widowControl/>
              <w:spacing w:line="420" w:lineRule="atLeas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文  学</w:t>
            </w:r>
          </w:p>
        </w:tc>
        <w:tc>
          <w:tcPr>
            <w:tcW w:w="7138" w:type="dxa"/>
            <w:vAlign w:val="center"/>
          </w:tcPr>
          <w:p w14:paraId="6027818D">
            <w:pPr>
              <w:widowControl/>
              <w:spacing w:line="420" w:lineRule="atLeas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外国语言文学；哲学；新闻传播学</w:t>
            </w:r>
          </w:p>
        </w:tc>
      </w:tr>
      <w:tr w14:paraId="0E8C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7C9A3EE0">
            <w:pPr>
              <w:widowControl/>
              <w:spacing w:line="420" w:lineRule="atLeas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教育学</w:t>
            </w:r>
          </w:p>
        </w:tc>
        <w:tc>
          <w:tcPr>
            <w:tcW w:w="7138" w:type="dxa"/>
            <w:vAlign w:val="center"/>
          </w:tcPr>
          <w:p w14:paraId="1741522C">
            <w:pPr>
              <w:widowControl/>
              <w:spacing w:line="420" w:lineRule="atLeas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国际中文教育；教育学</w:t>
            </w:r>
          </w:p>
        </w:tc>
      </w:tr>
      <w:tr w14:paraId="3006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3DC3F023">
            <w:pPr>
              <w:widowControl/>
              <w:spacing w:line="420" w:lineRule="atLeas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艺术学</w:t>
            </w:r>
          </w:p>
        </w:tc>
        <w:tc>
          <w:tcPr>
            <w:tcW w:w="7138" w:type="dxa"/>
            <w:vAlign w:val="center"/>
          </w:tcPr>
          <w:p w14:paraId="3310A489">
            <w:pPr>
              <w:widowControl/>
              <w:spacing w:line="420" w:lineRule="atLeas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艺术学；设计学</w:t>
            </w:r>
          </w:p>
        </w:tc>
      </w:tr>
    </w:tbl>
    <w:p w14:paraId="4EFBA075">
      <w:pPr>
        <w:widowControl/>
        <w:shd w:val="clear" w:color="auto" w:fill="FFFFFF"/>
        <w:ind w:firstLine="640" w:firstLineChars="200"/>
        <w:jc w:val="left"/>
        <w:rPr>
          <w:rFonts w:ascii="仿宋_GB2312" w:hAnsi="仿宋_GB2312" w:eastAsia="仿宋_GB2312" w:cs="仿宋_GB2312"/>
          <w:bCs/>
          <w:color w:val="3F3F3F"/>
          <w:kern w:val="0"/>
          <w:sz w:val="32"/>
          <w:szCs w:val="32"/>
        </w:rPr>
      </w:pPr>
      <w:r>
        <w:rPr>
          <w:rFonts w:hint="eastAsia" w:ascii="仿宋_GB2312" w:hAnsi="仿宋_GB2312" w:eastAsia="仿宋_GB2312" w:cs="仿宋_GB2312"/>
          <w:kern w:val="0"/>
          <w:sz w:val="32"/>
          <w:szCs w:val="32"/>
        </w:rPr>
        <w:t>详见：</w:t>
      </w:r>
      <w:r>
        <w:rPr>
          <w:rFonts w:hint="eastAsia" w:ascii="仿宋_GB2312" w:hAnsi="仿宋_GB2312" w:eastAsia="仿宋_GB2312" w:cs="仿宋_GB2312"/>
          <w:sz w:val="32"/>
          <w:szCs w:val="32"/>
        </w:rPr>
        <w:t>http://gd.whut.edu.cn/zs/zsjz/。</w:t>
      </w:r>
    </w:p>
    <w:p w14:paraId="3E0C0DFA">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（二）英文授课项目</w:t>
      </w:r>
    </w:p>
    <w:p w14:paraId="107F4B4D">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硕士研究生：应用经济学；工商管理；计算机科学与技术；材料科学与工程；机械工程；土木工程；交通运输工程；矿业工程；车辆工程；法学；建筑学；数学；物理学；化学工程与技术。详见http://gd.whut.edu.cn/zs/zsjz/。</w:t>
      </w:r>
    </w:p>
    <w:p w14:paraId="452E2228">
      <w:pPr>
        <w:widowControl/>
        <w:shd w:val="clear" w:color="auto" w:fill="FFFFFF"/>
        <w:spacing w:line="276" w:lineRule="auto"/>
        <w:ind w:firstLine="640" w:firstLineChars="200"/>
        <w:jc w:val="left"/>
        <w:rPr>
          <w:rFonts w:ascii="宋体" w:hAnsi="宋体" w:eastAsia="宋体" w:cs="宋体"/>
          <w:b/>
          <w:bCs/>
          <w:color w:val="3F3F3F"/>
          <w:kern w:val="0"/>
          <w:sz w:val="28"/>
          <w:szCs w:val="28"/>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博士研究生:招生专业及学科类别详见</w:t>
      </w:r>
      <w:r>
        <w:rPr>
          <w:rFonts w:hint="eastAsia" w:ascii="仿宋_GB2312" w:hAnsi="仿宋_GB2312" w:eastAsia="仿宋_GB2312" w:cs="仿宋_GB2312"/>
          <w:sz w:val="32"/>
          <w:szCs w:val="32"/>
        </w:rPr>
        <w:t>http://gd.whut.edu.cn/zs/zsjz/。</w:t>
      </w:r>
    </w:p>
    <w:p w14:paraId="56E8E27D">
      <w:pPr>
        <w:widowControl/>
        <w:numPr>
          <w:ilvl w:val="0"/>
          <w:numId w:val="1"/>
        </w:numPr>
        <w:shd w:val="clear" w:color="auto" w:fill="FFFFFF"/>
        <w:spacing w:line="276" w:lineRule="auto"/>
        <w:rPr>
          <w:rFonts w:ascii="黑体" w:hAnsi="黑体" w:eastAsia="黑体" w:cs="黑体"/>
          <w:b/>
          <w:bCs/>
          <w:kern w:val="0"/>
          <w:sz w:val="32"/>
          <w:szCs w:val="32"/>
        </w:rPr>
      </w:pPr>
      <w:r>
        <w:rPr>
          <w:rFonts w:hint="eastAsia" w:ascii="黑体" w:hAnsi="黑体" w:eastAsia="黑体" w:cs="黑体"/>
          <w:b/>
          <w:bCs/>
          <w:kern w:val="0"/>
          <w:sz w:val="32"/>
          <w:szCs w:val="32"/>
        </w:rPr>
        <w:t>学制与学位的颁发与授予</w:t>
      </w:r>
    </w:p>
    <w:p w14:paraId="41620756">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武汉理工大学硕士学位学制三年，博士学位学制四年。学校为完成规定的教学计划、考核合格并通过毕业论文答辩的学生颁发硕士或博士毕业证书，</w:t>
      </w:r>
      <w:r>
        <w:rPr>
          <w:rFonts w:hint="eastAsia" w:ascii="仿宋_GB2312" w:hAnsi="仿宋_GB2312" w:eastAsia="仿宋_GB2312" w:cs="仿宋_GB2312"/>
          <w:kern w:val="0"/>
          <w:sz w:val="32"/>
          <w:szCs w:val="32"/>
          <w:u w:val="none"/>
        </w:rPr>
        <w:t>符合学位授予条件的，</w:t>
      </w:r>
      <w:r>
        <w:rPr>
          <w:rFonts w:hint="eastAsia" w:ascii="仿宋_GB2312" w:hAnsi="仿宋_GB2312" w:eastAsia="仿宋_GB2312" w:cs="仿宋_GB2312"/>
          <w:kern w:val="0"/>
          <w:sz w:val="32"/>
          <w:szCs w:val="32"/>
        </w:rPr>
        <w:t>经校学位评定委员会表决通过后，颁发学位证书。</w:t>
      </w:r>
    </w:p>
    <w:p w14:paraId="567814EF">
      <w:pPr>
        <w:widowControl/>
        <w:shd w:val="clear" w:color="auto" w:fill="FFFFFF"/>
        <w:spacing w:line="276" w:lineRule="auto"/>
        <w:rPr>
          <w:rFonts w:ascii="黑体" w:hAnsi="黑体" w:eastAsia="黑体" w:cs="黑体"/>
          <w:b/>
          <w:bCs/>
          <w:kern w:val="0"/>
          <w:sz w:val="32"/>
          <w:szCs w:val="32"/>
        </w:rPr>
      </w:pPr>
      <w:r>
        <w:rPr>
          <w:rFonts w:hint="eastAsia" w:ascii="黑体" w:hAnsi="黑体" w:eastAsia="黑体" w:cs="黑体"/>
          <w:b/>
          <w:bCs/>
          <w:kern w:val="0"/>
          <w:sz w:val="32"/>
          <w:szCs w:val="32"/>
        </w:rPr>
        <w:t>四、申请资格</w:t>
      </w:r>
    </w:p>
    <w:p w14:paraId="3C7766FA">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（一）品行端正、身体健康的外国公民。</w:t>
      </w:r>
    </w:p>
    <w:p w14:paraId="7B7C15D2">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中国教育部相关规定，出生时即具有外国国籍但父母双方或一方为中国公民并定居在外国的申请人以及祖国大陆（内地）、香港、澳门和台湾居民在移民后获得外国国籍的申请人，应持有有效的外国护照或国籍证明文件4年（含）以上，且最近4年（截至入学年度的4月30日前）之内有在外国实际居住2年以上的记录（一年中实际在外国居住满9个月可按一年计算，以入境和出境签章为准）。</w:t>
      </w:r>
    </w:p>
    <w:p w14:paraId="03307CB1">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（二）学习成绩优良，拥有官方出具的文凭：硕士申请者需具有与中国学士学位相当的学位，博士申请者需具有与中国硕士学位相当的学位。</w:t>
      </w:r>
    </w:p>
    <w:p w14:paraId="4E8B1966">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（三）语言水平</w:t>
      </w:r>
    </w:p>
    <w:p w14:paraId="5378AA0F">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1、汉语水平(中文授课申请者) </w:t>
      </w:r>
    </w:p>
    <w:p w14:paraId="5F47581C">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进入专业学习的申请者须达到HSK4级（含）以上。</w:t>
      </w:r>
    </w:p>
    <w:p w14:paraId="4FF68205">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2、英语水平(英语授课申请者)</w:t>
      </w:r>
    </w:p>
    <w:p w14:paraId="1EDDAA53">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母语为非英语的英文授课项目申请者需提供英语水平证明，如TOEFL需达到80分，IELTS需达到6.0，或提供TOEFL My Best, TOEFL iBT Home Edition，TOEFL Essentials成绩(TOEFL DI code: C647)等；不能提供标准化英语测试证明的申请人需进行英语笔试或面试。</w:t>
      </w:r>
    </w:p>
    <w:p w14:paraId="68FEACC9">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（四）硕士申请者年龄一般不超过35周岁，博士申请者年龄一般不超过40周岁。 </w:t>
      </w:r>
    </w:p>
    <w:p w14:paraId="65F5731F">
      <w:pPr>
        <w:widowControl/>
        <w:shd w:val="clear" w:color="auto" w:fill="FFFFFF"/>
        <w:spacing w:line="276" w:lineRule="auto"/>
        <w:rPr>
          <w:rFonts w:ascii="黑体" w:hAnsi="黑体" w:eastAsia="黑体" w:cs="黑体"/>
          <w:b/>
          <w:bCs/>
          <w:kern w:val="0"/>
          <w:sz w:val="32"/>
          <w:szCs w:val="32"/>
        </w:rPr>
      </w:pPr>
      <w:r>
        <w:rPr>
          <w:rFonts w:hint="eastAsia" w:ascii="黑体" w:hAnsi="黑体" w:eastAsia="黑体" w:cs="黑体"/>
          <w:b/>
          <w:bCs/>
          <w:kern w:val="0"/>
          <w:sz w:val="32"/>
          <w:szCs w:val="32"/>
        </w:rPr>
        <w:t>五、申请流程</w:t>
      </w:r>
    </w:p>
    <w:p w14:paraId="4C2A7ED1">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（一）在线申请</w:t>
      </w:r>
    </w:p>
    <w:p w14:paraId="5850AEB5">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在申请时间内登录武汉理工大学国际学生申请系统</w:t>
      </w:r>
      <w:r>
        <w:fldChar w:fldCharType="begin"/>
      </w:r>
      <w:r>
        <w:instrText xml:space="preserve"> HYPERLINK "http://admission.whut.edu.cn" </w:instrText>
      </w:r>
      <w:r>
        <w:fldChar w:fldCharType="separate"/>
      </w:r>
      <w:r>
        <w:rPr>
          <w:rFonts w:hint="eastAsia" w:ascii="仿宋_GB2312" w:hAnsi="仿宋_GB2312" w:eastAsia="仿宋_GB2312" w:cs="仿宋_GB2312"/>
          <w:kern w:val="0"/>
          <w:sz w:val="32"/>
          <w:szCs w:val="32"/>
        </w:rPr>
        <w:t>http://admission.whut.edu.cn</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，注册并登录后按要求真实、完整地填写《武汉理工大学外国留学生入学申请表》，并按照系统要求上传相关证明附件材料并在有效申请期限内提交和交纳报名费。</w:t>
      </w:r>
    </w:p>
    <w:p w14:paraId="1D9EE425">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（二）申请材料</w:t>
      </w:r>
    </w:p>
    <w:p w14:paraId="1BCD1E6A">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1、护照首页及来华签证页（如有）</w:t>
      </w:r>
    </w:p>
    <w:p w14:paraId="551E134F">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2、最高学历的官方文凭（原件及中文或英文翻译件）</w:t>
      </w:r>
    </w:p>
    <w:p w14:paraId="558D3A8F">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3、最高学历期间成绩单（原件及中文或英文翻译件）</w:t>
      </w:r>
    </w:p>
    <w:p w14:paraId="064DC5A2">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4、汉语等级证书或考试成绩证明（限中文授课申请者）</w:t>
      </w:r>
    </w:p>
    <w:p w14:paraId="099B8FA7">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5、英语水平证明如托福或雅思等（限英文授课申请者）</w:t>
      </w:r>
    </w:p>
    <w:p w14:paraId="58B5188E">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6、两份副教授或相应职称以上学者推荐信</w:t>
      </w:r>
    </w:p>
    <w:p w14:paraId="14D9380D">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7、有在华学习经历的申请人须提供前置学校出具的在校表现证明</w:t>
      </w:r>
    </w:p>
    <w:p w14:paraId="7E978209">
      <w:pPr>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8、导师接收函（下载地址</w:t>
      </w:r>
      <w:r>
        <w:fldChar w:fldCharType="begin"/>
      </w:r>
      <w:r>
        <w:instrText xml:space="preserve"> HYPERLINK "http://sie.whut.edu.cn/english/ist/dowl/" </w:instrText>
      </w:r>
      <w:r>
        <w:fldChar w:fldCharType="separate"/>
      </w:r>
      <w:r>
        <w:rPr>
          <w:rFonts w:hint="eastAsia" w:ascii="仿宋_GB2312" w:hAnsi="仿宋_GB2312" w:eastAsia="仿宋_GB2312" w:cs="仿宋_GB2312"/>
          <w:kern w:val="0"/>
          <w:sz w:val="32"/>
          <w:szCs w:val="32"/>
        </w:rPr>
        <w:t>http://sie.whut.edu.cn/english/ist/dowl/</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w:t>
      </w:r>
    </w:p>
    <w:p w14:paraId="72DD1FA1">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9、个人陈述和简要的研究计划,博士专业申请者需要另外提交简要的研究经历</w:t>
      </w:r>
    </w:p>
    <w:p w14:paraId="7F67E973">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10、经济担保证明</w:t>
      </w:r>
    </w:p>
    <w:p w14:paraId="4458BBE0">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11、无犯罪记录证明</w:t>
      </w:r>
    </w:p>
    <w:p w14:paraId="59B8A2A1">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12、报名费缴纳证明</w:t>
      </w:r>
    </w:p>
    <w:p w14:paraId="672EECC9">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13、近六个月的体检报告</w:t>
      </w:r>
    </w:p>
    <w:p w14:paraId="3062DFA8">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注：申请者在网上提交的所有申请材料均为原件扫描件，若原件语言不包含</w:t>
      </w:r>
      <w:bookmarkStart w:id="0" w:name="OLE_LINK1"/>
      <w:r>
        <w:rPr>
          <w:rFonts w:hint="eastAsia" w:ascii="仿宋_GB2312" w:hAnsi="仿宋_GB2312" w:eastAsia="仿宋_GB2312" w:cs="仿宋_GB2312"/>
          <w:kern w:val="0"/>
          <w:sz w:val="32"/>
          <w:szCs w:val="32"/>
        </w:rPr>
        <w:t>通用语</w:t>
      </w:r>
      <w:bookmarkEnd w:id="0"/>
      <w:r>
        <w:rPr>
          <w:rFonts w:hint="eastAsia" w:ascii="仿宋_GB2312" w:hAnsi="仿宋_GB2312" w:eastAsia="仿宋_GB2312" w:cs="仿宋_GB2312"/>
          <w:kern w:val="0"/>
          <w:sz w:val="32"/>
          <w:szCs w:val="32"/>
        </w:rPr>
        <w:t>，则还需要同时提交其中文或英文翻译件。报到注册时需提供所有材料原件以供审核。</w:t>
      </w:r>
    </w:p>
    <w:p w14:paraId="586EFB13">
      <w:pPr>
        <w:widowControl/>
        <w:shd w:val="clear" w:color="auto" w:fill="FFFFFF"/>
        <w:spacing w:line="276" w:lineRule="auto"/>
        <w:rPr>
          <w:rFonts w:ascii="黑体" w:hAnsi="黑体" w:eastAsia="黑体" w:cs="黑体"/>
          <w:b/>
          <w:bCs/>
          <w:kern w:val="0"/>
          <w:sz w:val="32"/>
          <w:szCs w:val="32"/>
        </w:rPr>
      </w:pPr>
      <w:r>
        <w:rPr>
          <w:rFonts w:hint="eastAsia" w:ascii="黑体" w:hAnsi="黑体" w:eastAsia="黑体" w:cs="黑体"/>
          <w:b/>
          <w:bCs/>
          <w:kern w:val="0"/>
          <w:sz w:val="32"/>
          <w:szCs w:val="32"/>
        </w:rPr>
        <w:t>六、审核、面试与录取</w:t>
      </w:r>
    </w:p>
    <w:p w14:paraId="07AA4CB4">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（一）材料初审</w:t>
      </w:r>
    </w:p>
    <w:p w14:paraId="2A040198">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国际教育学院留学生招生与培养中心对按时提交的申请及相关证明材料进行初审，申请材料须完整和真实，否则视为不合格申请。初审合格后将申请材料转入专业学院审核。</w:t>
      </w:r>
    </w:p>
    <w:p w14:paraId="3ADA1CEF">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（二）考核与面试</w:t>
      </w:r>
    </w:p>
    <w:p w14:paraId="55E2C267">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通过材料初审的申请者进入专业学院学术审核和面试环节，面试时间、方式由专业学院组织安排,专业学院在面试后给出是否录取的意见。对于特别优秀的申请者，经过学院专家评审，可以免面试予以录取。</w:t>
      </w:r>
    </w:p>
    <w:p w14:paraId="4DFF4716">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（三）录取</w:t>
      </w:r>
    </w:p>
    <w:p w14:paraId="1105A44B">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学校通过材料审核和考试评估，向满足录取条件的申请人发放《录取通知书》和《外国留学人员来华确认表》。</w:t>
      </w:r>
    </w:p>
    <w:p w14:paraId="2C3D937D">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注：被录取者如不持普通护照和学生签证入境，学校将不能为其注册。</w:t>
      </w:r>
    </w:p>
    <w:p w14:paraId="24A65CEA">
      <w:pPr>
        <w:widowControl/>
        <w:numPr>
          <w:ilvl w:val="0"/>
          <w:numId w:val="2"/>
        </w:numPr>
        <w:shd w:val="clear" w:color="auto" w:fill="FFFFFF"/>
        <w:spacing w:line="276" w:lineRule="auto"/>
        <w:rPr>
          <w:rFonts w:ascii="黑体" w:hAnsi="黑体" w:eastAsia="黑体" w:cs="黑体"/>
          <w:b/>
          <w:bCs/>
          <w:kern w:val="0"/>
          <w:sz w:val="32"/>
          <w:szCs w:val="32"/>
        </w:rPr>
      </w:pPr>
      <w:r>
        <w:rPr>
          <w:rFonts w:hint="eastAsia" w:ascii="黑体" w:hAnsi="黑体" w:eastAsia="黑体" w:cs="黑体"/>
          <w:b/>
          <w:bCs/>
          <w:kern w:val="0"/>
          <w:sz w:val="32"/>
          <w:szCs w:val="32"/>
        </w:rPr>
        <w:t>费用</w:t>
      </w:r>
    </w:p>
    <w:p w14:paraId="30373821">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（一）报名费:500元/人（境外支付80美元）</w:t>
      </w:r>
    </w:p>
    <w:p w14:paraId="1906D8B3">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（二）学费 </w:t>
      </w:r>
    </w:p>
    <w:tbl>
      <w:tblPr>
        <w:tblStyle w:val="10"/>
        <w:tblW w:w="830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150"/>
        <w:gridCol w:w="2012"/>
        <w:gridCol w:w="2188"/>
      </w:tblGrid>
      <w:tr w14:paraId="7872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950" w:type="dxa"/>
            <w:vAlign w:val="center"/>
          </w:tcPr>
          <w:p w14:paraId="3633434E">
            <w:pPr>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类型</w:t>
            </w:r>
          </w:p>
        </w:tc>
        <w:tc>
          <w:tcPr>
            <w:tcW w:w="3150" w:type="dxa"/>
            <w:vAlign w:val="center"/>
          </w:tcPr>
          <w:p w14:paraId="54EBFEB4">
            <w:pPr>
              <w:spacing w:line="276" w:lineRule="auto"/>
              <w:ind w:firstLine="1280" w:firstLineChars="4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类别</w:t>
            </w:r>
          </w:p>
        </w:tc>
        <w:tc>
          <w:tcPr>
            <w:tcW w:w="2012" w:type="dxa"/>
            <w:vAlign w:val="center"/>
          </w:tcPr>
          <w:p w14:paraId="12235ABD">
            <w:pPr>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中文授课</w:t>
            </w:r>
          </w:p>
          <w:p w14:paraId="7C478C2A">
            <w:pPr>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（元/年）</w:t>
            </w:r>
          </w:p>
        </w:tc>
        <w:tc>
          <w:tcPr>
            <w:tcW w:w="2188" w:type="dxa"/>
            <w:vAlign w:val="center"/>
          </w:tcPr>
          <w:p w14:paraId="6AA4DAFF">
            <w:pPr>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英文授课</w:t>
            </w:r>
          </w:p>
          <w:p w14:paraId="54DD0CE8">
            <w:pPr>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（元/年）</w:t>
            </w:r>
          </w:p>
        </w:tc>
      </w:tr>
      <w:tr w14:paraId="6C14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0" w:type="dxa"/>
            <w:vMerge w:val="restart"/>
            <w:vAlign w:val="center"/>
          </w:tcPr>
          <w:p w14:paraId="66092E53">
            <w:pPr>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硕士</w:t>
            </w:r>
          </w:p>
        </w:tc>
        <w:tc>
          <w:tcPr>
            <w:tcW w:w="3150" w:type="dxa"/>
            <w:vAlign w:val="center"/>
          </w:tcPr>
          <w:p w14:paraId="085C3767">
            <w:pPr>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理工科</w:t>
            </w:r>
          </w:p>
        </w:tc>
        <w:tc>
          <w:tcPr>
            <w:tcW w:w="2012" w:type="dxa"/>
            <w:vAlign w:val="center"/>
          </w:tcPr>
          <w:p w14:paraId="193F7319">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26000</w:t>
            </w:r>
          </w:p>
        </w:tc>
        <w:tc>
          <w:tcPr>
            <w:tcW w:w="2188" w:type="dxa"/>
            <w:vAlign w:val="center"/>
          </w:tcPr>
          <w:p w14:paraId="122BA24B">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30000</w:t>
            </w:r>
          </w:p>
        </w:tc>
      </w:tr>
      <w:tr w14:paraId="1821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950" w:type="dxa"/>
            <w:vMerge w:val="continue"/>
            <w:vAlign w:val="center"/>
          </w:tcPr>
          <w:p w14:paraId="2EB366A9">
            <w:pPr>
              <w:spacing w:line="276" w:lineRule="auto"/>
              <w:ind w:firstLine="640" w:firstLineChars="200"/>
              <w:jc w:val="center"/>
              <w:rPr>
                <w:rFonts w:ascii="仿宋_GB2312" w:hAnsi="仿宋_GB2312" w:eastAsia="仿宋_GB2312" w:cs="仿宋_GB2312"/>
                <w:kern w:val="0"/>
                <w:sz w:val="32"/>
                <w:szCs w:val="32"/>
              </w:rPr>
            </w:pPr>
          </w:p>
        </w:tc>
        <w:tc>
          <w:tcPr>
            <w:tcW w:w="3150" w:type="dxa"/>
            <w:vAlign w:val="center"/>
          </w:tcPr>
          <w:p w14:paraId="4B9DE529">
            <w:pPr>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经济、管理、法律和社会科学</w:t>
            </w:r>
          </w:p>
        </w:tc>
        <w:tc>
          <w:tcPr>
            <w:tcW w:w="2012" w:type="dxa"/>
            <w:vAlign w:val="center"/>
          </w:tcPr>
          <w:p w14:paraId="4A000D97">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23000</w:t>
            </w:r>
          </w:p>
        </w:tc>
        <w:tc>
          <w:tcPr>
            <w:tcW w:w="2188" w:type="dxa"/>
            <w:vAlign w:val="center"/>
          </w:tcPr>
          <w:p w14:paraId="3A121ECF">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27000</w:t>
            </w:r>
          </w:p>
        </w:tc>
      </w:tr>
      <w:tr w14:paraId="7B45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0" w:type="dxa"/>
            <w:vMerge w:val="continue"/>
            <w:vAlign w:val="center"/>
          </w:tcPr>
          <w:p w14:paraId="4F9441D8">
            <w:pPr>
              <w:spacing w:line="276" w:lineRule="auto"/>
              <w:ind w:firstLine="640" w:firstLineChars="200"/>
              <w:jc w:val="center"/>
              <w:rPr>
                <w:rFonts w:ascii="仿宋_GB2312" w:hAnsi="仿宋_GB2312" w:eastAsia="仿宋_GB2312" w:cs="仿宋_GB2312"/>
                <w:kern w:val="0"/>
                <w:sz w:val="32"/>
                <w:szCs w:val="32"/>
              </w:rPr>
            </w:pPr>
          </w:p>
        </w:tc>
        <w:tc>
          <w:tcPr>
            <w:tcW w:w="3150" w:type="dxa"/>
            <w:vAlign w:val="center"/>
          </w:tcPr>
          <w:p w14:paraId="7535A07E">
            <w:pPr>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艺术</w:t>
            </w:r>
          </w:p>
        </w:tc>
        <w:tc>
          <w:tcPr>
            <w:tcW w:w="2012" w:type="dxa"/>
            <w:vAlign w:val="center"/>
          </w:tcPr>
          <w:p w14:paraId="46A04417">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33000</w:t>
            </w:r>
          </w:p>
        </w:tc>
        <w:tc>
          <w:tcPr>
            <w:tcW w:w="2188" w:type="dxa"/>
            <w:vAlign w:val="center"/>
          </w:tcPr>
          <w:p w14:paraId="03130E27">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38000</w:t>
            </w:r>
          </w:p>
        </w:tc>
      </w:tr>
      <w:tr w14:paraId="575D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0" w:type="dxa"/>
            <w:vMerge w:val="continue"/>
            <w:vAlign w:val="center"/>
          </w:tcPr>
          <w:p w14:paraId="1D154DEB">
            <w:pPr>
              <w:spacing w:line="276" w:lineRule="auto"/>
              <w:ind w:firstLine="640" w:firstLineChars="200"/>
              <w:jc w:val="center"/>
              <w:rPr>
                <w:rFonts w:ascii="仿宋_GB2312" w:hAnsi="仿宋_GB2312" w:eastAsia="仿宋_GB2312" w:cs="仿宋_GB2312"/>
                <w:kern w:val="0"/>
                <w:sz w:val="32"/>
                <w:szCs w:val="32"/>
              </w:rPr>
            </w:pPr>
          </w:p>
        </w:tc>
        <w:tc>
          <w:tcPr>
            <w:tcW w:w="3150" w:type="dxa"/>
            <w:vAlign w:val="center"/>
          </w:tcPr>
          <w:p w14:paraId="61228C35">
            <w:pPr>
              <w:spacing w:line="276" w:lineRule="auto"/>
              <w:ind w:firstLine="1280" w:firstLineChars="4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MBA</w:t>
            </w:r>
          </w:p>
        </w:tc>
        <w:tc>
          <w:tcPr>
            <w:tcW w:w="2012" w:type="dxa"/>
            <w:vAlign w:val="center"/>
          </w:tcPr>
          <w:p w14:paraId="5A979E1C">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30000</w:t>
            </w:r>
          </w:p>
        </w:tc>
        <w:tc>
          <w:tcPr>
            <w:tcW w:w="2188" w:type="dxa"/>
            <w:vAlign w:val="center"/>
          </w:tcPr>
          <w:p w14:paraId="3008B703">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34000</w:t>
            </w:r>
          </w:p>
        </w:tc>
      </w:tr>
      <w:tr w14:paraId="07D3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50" w:type="dxa"/>
            <w:vMerge w:val="restart"/>
            <w:vAlign w:val="center"/>
          </w:tcPr>
          <w:p w14:paraId="70EC111E">
            <w:pPr>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博士</w:t>
            </w:r>
          </w:p>
        </w:tc>
        <w:tc>
          <w:tcPr>
            <w:tcW w:w="3150" w:type="dxa"/>
            <w:vAlign w:val="center"/>
          </w:tcPr>
          <w:p w14:paraId="2801EB2E">
            <w:pPr>
              <w:spacing w:line="276" w:lineRule="auto"/>
              <w:ind w:firstLine="960" w:firstLineChars="3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理工科</w:t>
            </w:r>
          </w:p>
        </w:tc>
        <w:tc>
          <w:tcPr>
            <w:tcW w:w="2012" w:type="dxa"/>
            <w:vAlign w:val="center"/>
          </w:tcPr>
          <w:p w14:paraId="4D499527">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32000</w:t>
            </w:r>
          </w:p>
        </w:tc>
        <w:tc>
          <w:tcPr>
            <w:tcW w:w="2188" w:type="dxa"/>
            <w:vAlign w:val="center"/>
          </w:tcPr>
          <w:p w14:paraId="248D63EA">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35000</w:t>
            </w:r>
          </w:p>
        </w:tc>
      </w:tr>
      <w:tr w14:paraId="125C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950" w:type="dxa"/>
            <w:vMerge w:val="continue"/>
            <w:vAlign w:val="center"/>
          </w:tcPr>
          <w:p w14:paraId="016D867F">
            <w:pPr>
              <w:spacing w:line="276" w:lineRule="auto"/>
              <w:ind w:firstLine="640" w:firstLineChars="200"/>
              <w:jc w:val="center"/>
              <w:rPr>
                <w:rFonts w:ascii="仿宋_GB2312" w:hAnsi="仿宋_GB2312" w:eastAsia="仿宋_GB2312" w:cs="仿宋_GB2312"/>
                <w:kern w:val="0"/>
                <w:sz w:val="32"/>
                <w:szCs w:val="32"/>
              </w:rPr>
            </w:pPr>
          </w:p>
        </w:tc>
        <w:tc>
          <w:tcPr>
            <w:tcW w:w="3150" w:type="dxa"/>
            <w:vAlign w:val="center"/>
          </w:tcPr>
          <w:p w14:paraId="0A30A803">
            <w:pPr>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经济、管理、法律和社会科学</w:t>
            </w:r>
          </w:p>
        </w:tc>
        <w:tc>
          <w:tcPr>
            <w:tcW w:w="2012" w:type="dxa"/>
            <w:vAlign w:val="center"/>
          </w:tcPr>
          <w:p w14:paraId="72F2873C">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30000</w:t>
            </w:r>
          </w:p>
        </w:tc>
        <w:tc>
          <w:tcPr>
            <w:tcW w:w="2188" w:type="dxa"/>
            <w:vAlign w:val="center"/>
          </w:tcPr>
          <w:p w14:paraId="2D60EE07">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33000</w:t>
            </w:r>
          </w:p>
        </w:tc>
      </w:tr>
      <w:tr w14:paraId="3261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0" w:type="dxa"/>
            <w:vMerge w:val="continue"/>
            <w:vAlign w:val="center"/>
          </w:tcPr>
          <w:p w14:paraId="0793E4F7">
            <w:pPr>
              <w:spacing w:line="276" w:lineRule="auto"/>
              <w:ind w:firstLine="640" w:firstLineChars="200"/>
              <w:jc w:val="center"/>
              <w:rPr>
                <w:rFonts w:ascii="仿宋_GB2312" w:hAnsi="仿宋_GB2312" w:eastAsia="仿宋_GB2312" w:cs="仿宋_GB2312"/>
                <w:kern w:val="0"/>
                <w:sz w:val="32"/>
                <w:szCs w:val="32"/>
              </w:rPr>
            </w:pPr>
          </w:p>
        </w:tc>
        <w:tc>
          <w:tcPr>
            <w:tcW w:w="3150" w:type="dxa"/>
            <w:vAlign w:val="center"/>
          </w:tcPr>
          <w:p w14:paraId="32C77F2C">
            <w:pPr>
              <w:spacing w:line="276" w:lineRule="auto"/>
              <w:ind w:firstLine="1280" w:firstLineChars="4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艺术</w:t>
            </w:r>
          </w:p>
        </w:tc>
        <w:tc>
          <w:tcPr>
            <w:tcW w:w="2012" w:type="dxa"/>
            <w:vAlign w:val="center"/>
          </w:tcPr>
          <w:p w14:paraId="2C9E4F5A">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41000</w:t>
            </w:r>
          </w:p>
        </w:tc>
        <w:tc>
          <w:tcPr>
            <w:tcW w:w="2188" w:type="dxa"/>
            <w:vAlign w:val="center"/>
          </w:tcPr>
          <w:p w14:paraId="0E970075">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45000</w:t>
            </w:r>
          </w:p>
        </w:tc>
      </w:tr>
    </w:tbl>
    <w:p w14:paraId="54590A9A">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注：学历生新生在我校报到时应足额缴纳第一年学费，否则不予注册。</w:t>
      </w:r>
    </w:p>
    <w:p w14:paraId="1CF7D249">
      <w:pPr>
        <w:widowControl/>
        <w:shd w:val="clear" w:color="auto" w:fill="FFFFFF"/>
        <w:spacing w:line="276" w:lineRule="auto"/>
        <w:rPr>
          <w:rFonts w:ascii="黑体" w:hAnsi="黑体" w:eastAsia="黑体" w:cs="黑体"/>
          <w:b/>
          <w:bCs/>
          <w:kern w:val="0"/>
          <w:sz w:val="32"/>
          <w:szCs w:val="32"/>
        </w:rPr>
      </w:pPr>
      <w:r>
        <w:rPr>
          <w:rFonts w:hint="eastAsia" w:ascii="黑体" w:hAnsi="黑体" w:eastAsia="黑体" w:cs="黑体"/>
          <w:b/>
          <w:bCs/>
          <w:kern w:val="0"/>
          <w:sz w:val="32"/>
          <w:szCs w:val="32"/>
        </w:rPr>
        <w:t>八、奖学金申请</w:t>
      </w:r>
    </w:p>
    <w:p w14:paraId="47D78B1A">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（一）中国政府奖学金-国别双边项目</w:t>
      </w:r>
    </w:p>
    <w:p w14:paraId="58270300">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计划重点资助友华人士来武汉理工大学学习。请直接与本国留学生派遣部门联系并申请（一般为中国驻当地使领馆）。该项目可招收本科生、硕士研究生、博士研究生、普通进修生和高级进修生。申请时间一般为每年1月初至4月初。具体的招生类别、申请时间和机构代码信息，请向本国留学生派遣部门咨询。申请要求及办法请登录中国国家留学生基金委网站</w:t>
      </w:r>
      <w:r>
        <w:fldChar w:fldCharType="begin"/>
      </w:r>
      <w:r>
        <w:instrText xml:space="preserve"> HYPERLINK "http://www.csc.edu.cn/studyinchina" </w:instrText>
      </w:r>
      <w:r>
        <w:fldChar w:fldCharType="separate"/>
      </w:r>
      <w:r>
        <w:rPr>
          <w:rFonts w:hint="eastAsia" w:ascii="仿宋_GB2312" w:hAnsi="仿宋_GB2312" w:eastAsia="仿宋_GB2312" w:cs="仿宋_GB2312"/>
          <w:kern w:val="0"/>
          <w:sz w:val="32"/>
          <w:szCs w:val="32"/>
        </w:rPr>
        <w:t>http://www.csc.edu.cn/studyinchina</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或https://www.campuschina.org以及武汉理工大学申请平台网站</w:t>
      </w:r>
      <w:r>
        <w:fldChar w:fldCharType="begin"/>
      </w:r>
      <w:r>
        <w:instrText xml:space="preserve"> HYPERLINK "http://admission.whut.edu.cn/" </w:instrText>
      </w:r>
      <w:r>
        <w:fldChar w:fldCharType="separate"/>
      </w:r>
      <w:r>
        <w:rPr>
          <w:rFonts w:hint="eastAsia" w:ascii="仿宋_GB2312" w:hAnsi="仿宋_GB2312" w:eastAsia="仿宋_GB2312" w:cs="仿宋_GB2312"/>
          <w:kern w:val="0"/>
          <w:sz w:val="32"/>
          <w:szCs w:val="32"/>
        </w:rPr>
        <w:t>http://admission.whut.edu.cn</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。申请者需同时符合我校申请要求，在线申请时选择武汉理工大学为第一志愿学校。</w:t>
      </w:r>
    </w:p>
    <w:p w14:paraId="102D43A5">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（二）中国政府奖学金-中国高校自主招生项目(高校研究生项目、丝绸之路项目)</w:t>
      </w:r>
    </w:p>
    <w:p w14:paraId="5A09B7D9">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计划重点资助友华人士来武汉理工大学攻读硕士或博士学历学位。申请者提交申请时填写项目种类为B类，武汉理工大学机构代码为10497。申请时间为2025年1月初至4月底，具体的项目申请要求可登录武汉理工大学信息网站查看</w:t>
      </w:r>
      <w:r>
        <w:fldChar w:fldCharType="begin"/>
      </w:r>
      <w:r>
        <w:instrText xml:space="preserve"> HYPERLINK "http://sie.whut.edu.cn/english/sch/ch。" </w:instrText>
      </w:r>
      <w:r>
        <w:fldChar w:fldCharType="separate"/>
      </w:r>
      <w:r>
        <w:rPr>
          <w:rFonts w:hint="eastAsia" w:ascii="仿宋_GB2312" w:hAnsi="仿宋_GB2312" w:eastAsia="仿宋_GB2312" w:cs="仿宋_GB2312"/>
          <w:kern w:val="0"/>
          <w:sz w:val="32"/>
          <w:szCs w:val="32"/>
        </w:rPr>
        <w:t>http://sie.whut.edu.cn/english/sch/ch。</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申请平台为武汉理工大学网站</w:t>
      </w:r>
      <w:r>
        <w:fldChar w:fldCharType="begin"/>
      </w:r>
      <w:r>
        <w:instrText xml:space="preserve"> HYPERLINK "http://admission.whut.edu.cn/" </w:instrText>
      </w:r>
      <w:r>
        <w:fldChar w:fldCharType="separate"/>
      </w:r>
      <w:r>
        <w:rPr>
          <w:rFonts w:hint="eastAsia" w:ascii="仿宋_GB2312" w:hAnsi="仿宋_GB2312" w:eastAsia="仿宋_GB2312" w:cs="仿宋_GB2312"/>
          <w:kern w:val="0"/>
          <w:sz w:val="32"/>
          <w:szCs w:val="32"/>
        </w:rPr>
        <w:t>http://admission.whut.edu.cn/</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 xml:space="preserve"> 和中国国家留学基金委网站</w:t>
      </w:r>
      <w:r>
        <w:fldChar w:fldCharType="begin"/>
      </w:r>
      <w:r>
        <w:instrText xml:space="preserve"> HYPERLINK "http://www.campuschina.org" </w:instrText>
      </w:r>
      <w:r>
        <w:fldChar w:fldCharType="separate"/>
      </w:r>
      <w:r>
        <w:rPr>
          <w:rFonts w:hint="eastAsia" w:ascii="仿宋_GB2312" w:hAnsi="仿宋_GB2312" w:eastAsia="仿宋_GB2312" w:cs="仿宋_GB2312"/>
          <w:kern w:val="0"/>
          <w:sz w:val="32"/>
          <w:szCs w:val="32"/>
        </w:rPr>
        <w:t>http://www.campuschina.org</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或</w:t>
      </w:r>
      <w:r>
        <w:fldChar w:fldCharType="begin"/>
      </w:r>
      <w:r>
        <w:instrText xml:space="preserve"> HYPERLINK "http://www.csc.edu.cn/laihua" </w:instrText>
      </w:r>
      <w:r>
        <w:fldChar w:fldCharType="separate"/>
      </w:r>
      <w:r>
        <w:rPr>
          <w:rFonts w:hint="eastAsia" w:ascii="仿宋_GB2312" w:hAnsi="仿宋_GB2312" w:eastAsia="仿宋_GB2312" w:cs="仿宋_GB2312"/>
          <w:kern w:val="0"/>
          <w:sz w:val="32"/>
          <w:szCs w:val="32"/>
        </w:rPr>
        <w:t>http://www.csc.edu.cn/laihua</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w:t>
      </w:r>
    </w:p>
    <w:p w14:paraId="3E9169FB">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（三）商务部援外学历学位项目奖学金</w:t>
      </w:r>
    </w:p>
    <w:p w14:paraId="5463989D">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是商务部设立的“援外高级学历学位教育专项计划”教育项目，计划重点资助受援国中青年友华人士来华攻读硕士或博士学历学位,请直接与中国驻当地使馆经商处联系和申请，详见http://sie.whut.edu.cn/english/sch/mof和</w:t>
      </w:r>
      <w:r>
        <w:fldChar w:fldCharType="begin"/>
      </w:r>
      <w:r>
        <w:instrText xml:space="preserve"> HYPERLINK "http://www.csc.edu.cn/laihua" </w:instrText>
      </w:r>
      <w:r>
        <w:fldChar w:fldCharType="separate"/>
      </w:r>
      <w:r>
        <w:rPr>
          <w:rFonts w:hint="eastAsia" w:ascii="仿宋_GB2312" w:hAnsi="仿宋_GB2312" w:eastAsia="仿宋_GB2312" w:cs="仿宋_GB2312"/>
          <w:kern w:val="0"/>
          <w:sz w:val="32"/>
          <w:szCs w:val="32"/>
        </w:rPr>
        <w:t>http://www.csc.edu.cn/laihua</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w:t>
      </w:r>
    </w:p>
    <w:p w14:paraId="0401CC6D">
      <w:pPr>
        <w:widowControl/>
        <w:shd w:val="clear" w:color="auto" w:fill="FFFFFF"/>
        <w:spacing w:line="276" w:lineRule="auto"/>
        <w:rPr>
          <w:rFonts w:ascii="黑体" w:hAnsi="黑体" w:eastAsia="黑体" w:cs="黑体"/>
          <w:b/>
          <w:bCs/>
          <w:kern w:val="0"/>
          <w:sz w:val="32"/>
          <w:szCs w:val="32"/>
        </w:rPr>
      </w:pPr>
      <w:r>
        <w:rPr>
          <w:rFonts w:hint="eastAsia" w:ascii="黑体" w:hAnsi="黑体" w:eastAsia="黑体" w:cs="黑体"/>
          <w:b/>
          <w:bCs/>
          <w:kern w:val="0"/>
          <w:sz w:val="32"/>
          <w:szCs w:val="32"/>
        </w:rPr>
        <w:t>九、申请、录取、报到时间</w:t>
      </w:r>
    </w:p>
    <w:p w14:paraId="7A12F424">
      <w:pPr>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（一）申请时间</w:t>
      </w:r>
    </w:p>
    <w:p w14:paraId="12CBD7C3">
      <w:pPr>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个人自费及其他申请时间：即日起至2025年6月30日；中国政府奖学金申请时间为2025年1月-2025年5月，具体日期以当年批文所要求的时间为准。</w:t>
      </w:r>
    </w:p>
    <w:p w14:paraId="2C4109D1">
      <w:pPr>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（二）录取时间</w:t>
      </w:r>
    </w:p>
    <w:p w14:paraId="053FBA72">
      <w:pPr>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具体请查阅</w:t>
      </w:r>
      <w:bookmarkStart w:id="1" w:name="_Hlk34305687"/>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"http://admission.whut.edu.cn"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http://admission.whut.edu.cn</w:t>
      </w:r>
      <w:r>
        <w:rPr>
          <w:rFonts w:hint="eastAsia" w:ascii="仿宋_GB2312" w:hAnsi="仿宋_GB2312" w:eastAsia="仿宋_GB2312" w:cs="仿宋_GB2312"/>
          <w:kern w:val="0"/>
          <w:sz w:val="32"/>
          <w:szCs w:val="32"/>
        </w:rPr>
        <w:fldChar w:fldCharType="end"/>
      </w:r>
      <w:bookmarkEnd w:id="1"/>
      <w:r>
        <w:rPr>
          <w:rFonts w:hint="eastAsia" w:ascii="仿宋_GB2312" w:hAnsi="仿宋_GB2312" w:eastAsia="仿宋_GB2312" w:cs="仿宋_GB2312"/>
          <w:kern w:val="0"/>
          <w:sz w:val="32"/>
          <w:szCs w:val="32"/>
        </w:rPr>
        <w:t>网站信息及学校发送至申请者邮箱的信息。申请中国政府奖学金者请查阅相应网站公布时间，具体以领取到通知书为准。</w:t>
      </w:r>
    </w:p>
    <w:p w14:paraId="159E1493">
      <w:pPr>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（三）报到时间</w:t>
      </w:r>
    </w:p>
    <w:p w14:paraId="1FAEE550">
      <w:pPr>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际学生新生注册报到时间以新生录取通知书为准。报到时需携齐全的报到材料，包括个人普通护照原件（不接受外交护照和因公护照）及入境学生签证、《录取通知书》及《外国留学人员来华确认表》。新生入学时须携带所要求的中文或英文学位证和成绩单原件或公证件原件供学校复核入学资格。不符合入学条件者，取消入学资格。</w:t>
      </w:r>
    </w:p>
    <w:p w14:paraId="72AB0748">
      <w:pPr>
        <w:widowControl/>
        <w:shd w:val="clear" w:color="auto" w:fill="FFFFFF"/>
        <w:spacing w:line="276" w:lineRule="auto"/>
        <w:rPr>
          <w:rFonts w:ascii="黑体" w:hAnsi="黑体" w:eastAsia="黑体" w:cs="黑体"/>
          <w:b/>
          <w:bCs/>
          <w:kern w:val="0"/>
          <w:sz w:val="32"/>
          <w:szCs w:val="32"/>
        </w:rPr>
      </w:pPr>
      <w:r>
        <w:rPr>
          <w:rFonts w:hint="eastAsia" w:ascii="黑体" w:hAnsi="黑体" w:eastAsia="黑体" w:cs="黑体"/>
          <w:b/>
          <w:bCs/>
          <w:kern w:val="0"/>
          <w:sz w:val="32"/>
          <w:szCs w:val="32"/>
        </w:rPr>
        <w:t>十、住宿</w:t>
      </w:r>
    </w:p>
    <w:tbl>
      <w:tblPr>
        <w:tblStyle w:val="10"/>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400"/>
        <w:gridCol w:w="1575"/>
        <w:gridCol w:w="3988"/>
      </w:tblGrid>
      <w:tr w14:paraId="5BF1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756" w:type="dxa"/>
            <w:vAlign w:val="center"/>
          </w:tcPr>
          <w:p w14:paraId="142BFE65">
            <w:pPr>
              <w:widowControl/>
              <w:jc w:val="center"/>
              <w:rPr>
                <w:rFonts w:ascii="仿宋_GB2312" w:hAnsi="仿宋_GB2312" w:eastAsia="仿宋_GB2312" w:cs="仿宋_GB2312"/>
                <w:color w:val="3F3F3F"/>
                <w:kern w:val="0"/>
                <w:sz w:val="32"/>
                <w:szCs w:val="32"/>
              </w:rPr>
            </w:pPr>
            <w:r>
              <w:rPr>
                <w:rFonts w:hint="eastAsia" w:ascii="仿宋_GB2312" w:hAnsi="仿宋_GB2312" w:eastAsia="仿宋_GB2312" w:cs="仿宋_GB2312"/>
                <w:kern w:val="0"/>
                <w:sz w:val="32"/>
                <w:szCs w:val="32"/>
              </w:rPr>
              <w:t>公共设施</w:t>
            </w:r>
          </w:p>
        </w:tc>
        <w:tc>
          <w:tcPr>
            <w:tcW w:w="1400" w:type="dxa"/>
            <w:vAlign w:val="center"/>
          </w:tcPr>
          <w:p w14:paraId="5A330B7F">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房间</w:t>
            </w:r>
          </w:p>
          <w:p w14:paraId="084200F1">
            <w:pPr>
              <w:widowControl/>
              <w:jc w:val="center"/>
              <w:rPr>
                <w:rFonts w:ascii="仿宋_GB2312" w:hAnsi="仿宋_GB2312" w:eastAsia="仿宋_GB2312" w:cs="仿宋_GB2312"/>
                <w:color w:val="3F3F3F"/>
                <w:kern w:val="0"/>
                <w:sz w:val="32"/>
                <w:szCs w:val="32"/>
              </w:rPr>
            </w:pPr>
            <w:r>
              <w:rPr>
                <w:rFonts w:hint="eastAsia" w:ascii="仿宋_GB2312" w:hAnsi="仿宋_GB2312" w:eastAsia="仿宋_GB2312" w:cs="仿宋_GB2312"/>
                <w:kern w:val="0"/>
                <w:sz w:val="32"/>
                <w:szCs w:val="32"/>
              </w:rPr>
              <w:t>类型</w:t>
            </w:r>
          </w:p>
        </w:tc>
        <w:tc>
          <w:tcPr>
            <w:tcW w:w="1575" w:type="dxa"/>
            <w:vAlign w:val="center"/>
          </w:tcPr>
          <w:p w14:paraId="28EBFFAB">
            <w:pPr>
              <w:widowControl/>
              <w:jc w:val="center"/>
              <w:rPr>
                <w:rFonts w:ascii="仿宋_GB2312" w:hAnsi="仿宋_GB2312" w:eastAsia="仿宋_GB2312" w:cs="仿宋_GB2312"/>
                <w:color w:val="3F3F3F"/>
                <w:kern w:val="0"/>
                <w:sz w:val="32"/>
                <w:szCs w:val="32"/>
              </w:rPr>
            </w:pPr>
            <w:r>
              <w:rPr>
                <w:rFonts w:hint="eastAsia" w:ascii="仿宋_GB2312" w:hAnsi="仿宋_GB2312" w:eastAsia="仿宋_GB2312" w:cs="仿宋_GB2312"/>
                <w:kern w:val="0"/>
                <w:sz w:val="32"/>
                <w:szCs w:val="32"/>
              </w:rPr>
              <w:t>费用  （元/年）</w:t>
            </w:r>
          </w:p>
        </w:tc>
        <w:tc>
          <w:tcPr>
            <w:tcW w:w="3988" w:type="dxa"/>
            <w:vAlign w:val="center"/>
          </w:tcPr>
          <w:p w14:paraId="1CCF05F1">
            <w:pPr>
              <w:widowControl/>
              <w:jc w:val="center"/>
              <w:rPr>
                <w:rFonts w:ascii="仿宋_GB2312" w:hAnsi="仿宋_GB2312" w:eastAsia="仿宋_GB2312" w:cs="仿宋_GB2312"/>
                <w:color w:val="3F3F3F"/>
                <w:kern w:val="0"/>
                <w:sz w:val="32"/>
                <w:szCs w:val="32"/>
              </w:rPr>
            </w:pPr>
            <w:r>
              <w:rPr>
                <w:rFonts w:hint="eastAsia" w:ascii="仿宋_GB2312" w:hAnsi="仿宋_GB2312" w:eastAsia="仿宋_GB2312" w:cs="仿宋_GB2312"/>
                <w:kern w:val="0"/>
                <w:sz w:val="32"/>
                <w:szCs w:val="32"/>
              </w:rPr>
              <w:t>房间配置</w:t>
            </w:r>
          </w:p>
        </w:tc>
      </w:tr>
      <w:tr w14:paraId="7676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6" w:type="dxa"/>
            <w:vMerge w:val="restart"/>
            <w:vAlign w:val="center"/>
          </w:tcPr>
          <w:p w14:paraId="0F8106F8">
            <w:pPr>
              <w:spacing w:line="276" w:lineRule="auto"/>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厨房；洗衣房；多媒体活动室；健身器材；运动场；网络</w:t>
            </w:r>
          </w:p>
        </w:tc>
        <w:tc>
          <w:tcPr>
            <w:tcW w:w="1400" w:type="dxa"/>
            <w:vAlign w:val="center"/>
          </w:tcPr>
          <w:p w14:paraId="7E7C8A3B">
            <w:pPr>
              <w:spacing w:line="276" w:lineRule="auto"/>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单人间</w:t>
            </w:r>
          </w:p>
        </w:tc>
        <w:tc>
          <w:tcPr>
            <w:tcW w:w="1575" w:type="dxa"/>
            <w:vAlign w:val="center"/>
          </w:tcPr>
          <w:p w14:paraId="622B70F5">
            <w:pPr>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12000</w:t>
            </w:r>
          </w:p>
        </w:tc>
        <w:tc>
          <w:tcPr>
            <w:tcW w:w="3988" w:type="dxa"/>
          </w:tcPr>
          <w:p w14:paraId="529F8B98">
            <w:pPr>
              <w:spacing w:line="276" w:lineRule="auto"/>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空调、热水器、卫生间、衣柜、一把椅子、一张床、一套床上用品、120度免费用电额度</w:t>
            </w:r>
          </w:p>
        </w:tc>
      </w:tr>
      <w:tr w14:paraId="6332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1756" w:type="dxa"/>
            <w:vMerge w:val="continue"/>
          </w:tcPr>
          <w:p w14:paraId="69E84FAA">
            <w:pPr>
              <w:spacing w:line="276" w:lineRule="auto"/>
              <w:ind w:firstLine="640" w:firstLineChars="200"/>
              <w:jc w:val="left"/>
              <w:rPr>
                <w:rFonts w:ascii="仿宋_GB2312" w:hAnsi="仿宋_GB2312" w:eastAsia="仿宋_GB2312" w:cs="仿宋_GB2312"/>
                <w:kern w:val="0"/>
                <w:sz w:val="32"/>
                <w:szCs w:val="32"/>
              </w:rPr>
            </w:pPr>
          </w:p>
        </w:tc>
        <w:tc>
          <w:tcPr>
            <w:tcW w:w="1400" w:type="dxa"/>
            <w:vAlign w:val="center"/>
          </w:tcPr>
          <w:p w14:paraId="195F6B5F">
            <w:pPr>
              <w:spacing w:line="276" w:lineRule="auto"/>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双人间</w:t>
            </w:r>
          </w:p>
        </w:tc>
        <w:tc>
          <w:tcPr>
            <w:tcW w:w="1575" w:type="dxa"/>
            <w:vAlign w:val="center"/>
          </w:tcPr>
          <w:p w14:paraId="509BA82B">
            <w:pPr>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8400/人</w:t>
            </w:r>
          </w:p>
        </w:tc>
        <w:tc>
          <w:tcPr>
            <w:tcW w:w="3988" w:type="dxa"/>
          </w:tcPr>
          <w:p w14:paraId="54FD62DC">
            <w:pPr>
              <w:spacing w:line="276" w:lineRule="auto"/>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空调、热水器、卫生间、衣柜、两把椅子、两张床、两床上用品、每人120度免费用电额度</w:t>
            </w:r>
          </w:p>
        </w:tc>
      </w:tr>
    </w:tbl>
    <w:p w14:paraId="7574E600">
      <w:pPr>
        <w:widowControl/>
        <w:shd w:val="clear" w:color="auto" w:fill="FFFFFF"/>
        <w:spacing w:line="360" w:lineRule="auto"/>
        <w:ind w:firstLine="640" w:firstLineChars="200"/>
        <w:jc w:val="left"/>
        <w:rPr>
          <w:rFonts w:ascii="Times New Roman" w:hAnsi="Times New Roman" w:eastAsia="宋体" w:cs="Times New Roman"/>
          <w:sz w:val="28"/>
          <w:szCs w:val="28"/>
        </w:rPr>
      </w:pPr>
      <w:r>
        <w:rPr>
          <w:rFonts w:hint="eastAsia" w:ascii="仿宋_GB2312" w:hAnsi="仿宋_GB2312" w:eastAsia="仿宋_GB2312" w:cs="仿宋_GB2312"/>
          <w:kern w:val="0"/>
          <w:sz w:val="32"/>
          <w:szCs w:val="32"/>
        </w:rPr>
        <w:t>详见</w:t>
      </w:r>
      <w:r>
        <w:fldChar w:fldCharType="begin"/>
      </w:r>
      <w:r>
        <w:instrText xml:space="preserve"> HYPERLINK "http://sie.whut.edu.cn/english/ist/acco/" </w:instrText>
      </w:r>
      <w:r>
        <w:fldChar w:fldCharType="separate"/>
      </w:r>
      <w:r>
        <w:rPr>
          <w:rFonts w:hint="eastAsia" w:ascii="仿宋_GB2312" w:hAnsi="仿宋_GB2312" w:eastAsia="仿宋_GB2312" w:cs="仿宋_GB2312"/>
          <w:sz w:val="32"/>
          <w:szCs w:val="32"/>
        </w:rPr>
        <w:t>http://sie.whut.edu.cn/english/ist/acco/</w:t>
      </w:r>
      <w:r>
        <w:rPr>
          <w:rFonts w:hint="eastAsia" w:ascii="仿宋_GB2312" w:hAnsi="仿宋_GB2312" w:eastAsia="仿宋_GB2312" w:cs="仿宋_GB2312"/>
          <w:sz w:val="32"/>
          <w:szCs w:val="32"/>
        </w:rPr>
        <w:fldChar w:fldCharType="end"/>
      </w:r>
    </w:p>
    <w:p w14:paraId="28A09080">
      <w:pPr>
        <w:widowControl/>
        <w:shd w:val="clear" w:color="auto" w:fill="FFFFFF"/>
        <w:spacing w:line="276" w:lineRule="auto"/>
        <w:rPr>
          <w:rFonts w:ascii="黑体" w:hAnsi="黑体" w:eastAsia="黑体" w:cs="黑体"/>
          <w:b/>
          <w:bCs/>
          <w:kern w:val="0"/>
          <w:sz w:val="32"/>
          <w:szCs w:val="32"/>
        </w:rPr>
      </w:pPr>
      <w:r>
        <w:rPr>
          <w:rFonts w:hint="eastAsia" w:ascii="黑体" w:hAnsi="黑体" w:eastAsia="黑体" w:cs="黑体"/>
          <w:b/>
          <w:bCs/>
          <w:kern w:val="0"/>
          <w:sz w:val="32"/>
          <w:szCs w:val="32"/>
        </w:rPr>
        <w:t>十一、联系方式</w:t>
      </w:r>
    </w:p>
    <w:p w14:paraId="4D03CF32">
      <w:pPr>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武汉理工大学国际教育学院留学生招生与培养中心</w:t>
      </w:r>
    </w:p>
    <w:p w14:paraId="550DB900">
      <w:pPr>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地址：中国湖北省武汉市洪山区珞狮路205号</w:t>
      </w:r>
    </w:p>
    <w:p w14:paraId="04AE625D">
      <w:pPr>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武汉理工大学东院弘毅楼421 </w:t>
      </w:r>
    </w:p>
    <w:p w14:paraId="046620D1">
      <w:pPr>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电子邮箱:admission@whut.edu.cn </w:t>
      </w:r>
    </w:p>
    <w:p w14:paraId="4FEA1DF6">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电话Tel:027-87166636</w:t>
      </w:r>
    </w:p>
    <w:p w14:paraId="2B43F045">
      <w:pPr>
        <w:widowControl/>
        <w:shd w:val="clear" w:color="auto" w:fill="FFFFFF"/>
        <w:spacing w:line="276" w:lineRule="auto"/>
        <w:ind w:firstLine="640" w:firstLineChars="200"/>
        <w:rPr>
          <w:rFonts w:ascii="宋体" w:hAnsi="宋体" w:eastAsia="宋体" w:cs="宋体"/>
          <w:szCs w:val="21"/>
        </w:rPr>
      </w:pPr>
      <w:r>
        <w:rPr>
          <w:rFonts w:hint="eastAsia" w:ascii="仿宋_GB2312" w:hAnsi="仿宋_GB2312" w:eastAsia="仿宋_GB2312" w:cs="仿宋_GB2312"/>
          <w:kern w:val="0"/>
          <w:sz w:val="32"/>
          <w:szCs w:val="32"/>
        </w:rPr>
        <w:t>传真Fax:027-87166636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B9545"/>
    <w:multiLevelType w:val="singleLevel"/>
    <w:tmpl w:val="1ABB9545"/>
    <w:lvl w:ilvl="0" w:tentative="0">
      <w:start w:val="2"/>
      <w:numFmt w:val="chineseCounting"/>
      <w:suff w:val="nothing"/>
      <w:lvlText w:val="%1、"/>
      <w:lvlJc w:val="left"/>
      <w:rPr>
        <w:rFonts w:hint="eastAsia"/>
      </w:rPr>
    </w:lvl>
  </w:abstractNum>
  <w:abstractNum w:abstractNumId="1">
    <w:nsid w:val="4AA28E16"/>
    <w:multiLevelType w:val="singleLevel"/>
    <w:tmpl w:val="4AA28E1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lMjQzNTIwYWQ2YTU5NzIxZmM1OTdkZjM2YmJjNTEifQ=="/>
  </w:docVars>
  <w:rsids>
    <w:rsidRoot w:val="00E850CA"/>
    <w:rsid w:val="0001767D"/>
    <w:rsid w:val="00027226"/>
    <w:rsid w:val="0004182F"/>
    <w:rsid w:val="00043B3B"/>
    <w:rsid w:val="00076BEC"/>
    <w:rsid w:val="00076C11"/>
    <w:rsid w:val="00093D10"/>
    <w:rsid w:val="000B0B97"/>
    <w:rsid w:val="000B21D9"/>
    <w:rsid w:val="000B487B"/>
    <w:rsid w:val="000B697D"/>
    <w:rsid w:val="000D0D13"/>
    <w:rsid w:val="000D1A49"/>
    <w:rsid w:val="000E6CFF"/>
    <w:rsid w:val="00122335"/>
    <w:rsid w:val="00127B48"/>
    <w:rsid w:val="00145195"/>
    <w:rsid w:val="00161E00"/>
    <w:rsid w:val="001837AC"/>
    <w:rsid w:val="0018402E"/>
    <w:rsid w:val="001B2200"/>
    <w:rsid w:val="001B31A8"/>
    <w:rsid w:val="001B3F48"/>
    <w:rsid w:val="001B491D"/>
    <w:rsid w:val="001E0356"/>
    <w:rsid w:val="001E3BA2"/>
    <w:rsid w:val="001F3947"/>
    <w:rsid w:val="001F6F0B"/>
    <w:rsid w:val="00201F1A"/>
    <w:rsid w:val="0020235B"/>
    <w:rsid w:val="00205756"/>
    <w:rsid w:val="002234D9"/>
    <w:rsid w:val="00227A70"/>
    <w:rsid w:val="002628E2"/>
    <w:rsid w:val="00287E2C"/>
    <w:rsid w:val="00296D8B"/>
    <w:rsid w:val="002C0AEC"/>
    <w:rsid w:val="002D7EC4"/>
    <w:rsid w:val="002E0106"/>
    <w:rsid w:val="002F59F3"/>
    <w:rsid w:val="003069D8"/>
    <w:rsid w:val="003355D8"/>
    <w:rsid w:val="003539C0"/>
    <w:rsid w:val="00354300"/>
    <w:rsid w:val="00365B9F"/>
    <w:rsid w:val="00391A0B"/>
    <w:rsid w:val="003956C9"/>
    <w:rsid w:val="003A35BC"/>
    <w:rsid w:val="003D531E"/>
    <w:rsid w:val="003D741E"/>
    <w:rsid w:val="003F211B"/>
    <w:rsid w:val="003F7D4D"/>
    <w:rsid w:val="004001E6"/>
    <w:rsid w:val="00400763"/>
    <w:rsid w:val="00413AD4"/>
    <w:rsid w:val="00423E64"/>
    <w:rsid w:val="00441B2F"/>
    <w:rsid w:val="00453EE7"/>
    <w:rsid w:val="004618F9"/>
    <w:rsid w:val="00474FB8"/>
    <w:rsid w:val="0047609E"/>
    <w:rsid w:val="004807B2"/>
    <w:rsid w:val="004870D3"/>
    <w:rsid w:val="00497AD9"/>
    <w:rsid w:val="004B6DF0"/>
    <w:rsid w:val="004C13E4"/>
    <w:rsid w:val="004D7732"/>
    <w:rsid w:val="004E5CF4"/>
    <w:rsid w:val="004F5822"/>
    <w:rsid w:val="00500F7B"/>
    <w:rsid w:val="00546ECC"/>
    <w:rsid w:val="00564D8F"/>
    <w:rsid w:val="00592F45"/>
    <w:rsid w:val="00593079"/>
    <w:rsid w:val="00596C00"/>
    <w:rsid w:val="005A4830"/>
    <w:rsid w:val="005B2D71"/>
    <w:rsid w:val="00627F94"/>
    <w:rsid w:val="00630E2A"/>
    <w:rsid w:val="00643E22"/>
    <w:rsid w:val="00651BE8"/>
    <w:rsid w:val="0065580D"/>
    <w:rsid w:val="00662E7E"/>
    <w:rsid w:val="00667C9D"/>
    <w:rsid w:val="00670721"/>
    <w:rsid w:val="006903CC"/>
    <w:rsid w:val="00697D71"/>
    <w:rsid w:val="006A5638"/>
    <w:rsid w:val="006A760B"/>
    <w:rsid w:val="006D1627"/>
    <w:rsid w:val="006D711A"/>
    <w:rsid w:val="006E12AD"/>
    <w:rsid w:val="006E369B"/>
    <w:rsid w:val="006F6955"/>
    <w:rsid w:val="007058B7"/>
    <w:rsid w:val="007108D6"/>
    <w:rsid w:val="007235D9"/>
    <w:rsid w:val="00726E9F"/>
    <w:rsid w:val="007313AA"/>
    <w:rsid w:val="00740873"/>
    <w:rsid w:val="00741F2F"/>
    <w:rsid w:val="0075678B"/>
    <w:rsid w:val="007602B8"/>
    <w:rsid w:val="00773139"/>
    <w:rsid w:val="007754E7"/>
    <w:rsid w:val="0078005F"/>
    <w:rsid w:val="00784F5F"/>
    <w:rsid w:val="00787762"/>
    <w:rsid w:val="007A2EF4"/>
    <w:rsid w:val="007B1D92"/>
    <w:rsid w:val="007B2334"/>
    <w:rsid w:val="007E4A7A"/>
    <w:rsid w:val="007E70A5"/>
    <w:rsid w:val="007E7123"/>
    <w:rsid w:val="008130CE"/>
    <w:rsid w:val="008233D9"/>
    <w:rsid w:val="00847278"/>
    <w:rsid w:val="00847CA6"/>
    <w:rsid w:val="00866001"/>
    <w:rsid w:val="00894FFE"/>
    <w:rsid w:val="008A0C86"/>
    <w:rsid w:val="008A3F52"/>
    <w:rsid w:val="008A75ED"/>
    <w:rsid w:val="008B2C43"/>
    <w:rsid w:val="008D2C66"/>
    <w:rsid w:val="008F3E75"/>
    <w:rsid w:val="008F7001"/>
    <w:rsid w:val="008F7B0F"/>
    <w:rsid w:val="00937D19"/>
    <w:rsid w:val="0094006D"/>
    <w:rsid w:val="00941196"/>
    <w:rsid w:val="00954B45"/>
    <w:rsid w:val="00960733"/>
    <w:rsid w:val="00967D9B"/>
    <w:rsid w:val="009748C9"/>
    <w:rsid w:val="00974F03"/>
    <w:rsid w:val="009972D3"/>
    <w:rsid w:val="009B3BF9"/>
    <w:rsid w:val="009C47AB"/>
    <w:rsid w:val="009C5F94"/>
    <w:rsid w:val="009D1E99"/>
    <w:rsid w:val="009E5DB3"/>
    <w:rsid w:val="00A006B8"/>
    <w:rsid w:val="00A341B0"/>
    <w:rsid w:val="00A35CC7"/>
    <w:rsid w:val="00A55D6D"/>
    <w:rsid w:val="00A57573"/>
    <w:rsid w:val="00A736F8"/>
    <w:rsid w:val="00A74C9E"/>
    <w:rsid w:val="00A85927"/>
    <w:rsid w:val="00A86D97"/>
    <w:rsid w:val="00AA1BC8"/>
    <w:rsid w:val="00AA243B"/>
    <w:rsid w:val="00AA3199"/>
    <w:rsid w:val="00AB148A"/>
    <w:rsid w:val="00AB63FA"/>
    <w:rsid w:val="00AC479A"/>
    <w:rsid w:val="00AD13A8"/>
    <w:rsid w:val="00AD662A"/>
    <w:rsid w:val="00AD6B5E"/>
    <w:rsid w:val="00AE4FEB"/>
    <w:rsid w:val="00AF16FE"/>
    <w:rsid w:val="00B003A0"/>
    <w:rsid w:val="00B05EEF"/>
    <w:rsid w:val="00B069DA"/>
    <w:rsid w:val="00B46EB0"/>
    <w:rsid w:val="00B57277"/>
    <w:rsid w:val="00B75106"/>
    <w:rsid w:val="00B93455"/>
    <w:rsid w:val="00BC40CC"/>
    <w:rsid w:val="00BC4868"/>
    <w:rsid w:val="00BE1A9D"/>
    <w:rsid w:val="00BE56D8"/>
    <w:rsid w:val="00C0256D"/>
    <w:rsid w:val="00C05BF9"/>
    <w:rsid w:val="00C224C0"/>
    <w:rsid w:val="00C246FE"/>
    <w:rsid w:val="00C24E57"/>
    <w:rsid w:val="00C33225"/>
    <w:rsid w:val="00C35364"/>
    <w:rsid w:val="00C42C8F"/>
    <w:rsid w:val="00C548DF"/>
    <w:rsid w:val="00C66361"/>
    <w:rsid w:val="00C84900"/>
    <w:rsid w:val="00C90DB0"/>
    <w:rsid w:val="00C96BEA"/>
    <w:rsid w:val="00CA395A"/>
    <w:rsid w:val="00CB7AF7"/>
    <w:rsid w:val="00CC5E6C"/>
    <w:rsid w:val="00CD422A"/>
    <w:rsid w:val="00CD5830"/>
    <w:rsid w:val="00CD6A01"/>
    <w:rsid w:val="00CE74A6"/>
    <w:rsid w:val="00CF7C28"/>
    <w:rsid w:val="00D002C7"/>
    <w:rsid w:val="00D16312"/>
    <w:rsid w:val="00D247FE"/>
    <w:rsid w:val="00D4532B"/>
    <w:rsid w:val="00D46250"/>
    <w:rsid w:val="00D50278"/>
    <w:rsid w:val="00D76251"/>
    <w:rsid w:val="00D83856"/>
    <w:rsid w:val="00D92461"/>
    <w:rsid w:val="00DE319F"/>
    <w:rsid w:val="00DE68D0"/>
    <w:rsid w:val="00DE7EDF"/>
    <w:rsid w:val="00E1388C"/>
    <w:rsid w:val="00E160EE"/>
    <w:rsid w:val="00E25213"/>
    <w:rsid w:val="00E36B0A"/>
    <w:rsid w:val="00E45B34"/>
    <w:rsid w:val="00E45CA3"/>
    <w:rsid w:val="00E51E7C"/>
    <w:rsid w:val="00E7198F"/>
    <w:rsid w:val="00E7491E"/>
    <w:rsid w:val="00E850CA"/>
    <w:rsid w:val="00E9553B"/>
    <w:rsid w:val="00E962ED"/>
    <w:rsid w:val="00EA4ED0"/>
    <w:rsid w:val="00EA4EE4"/>
    <w:rsid w:val="00EB426B"/>
    <w:rsid w:val="00EB56B7"/>
    <w:rsid w:val="00EB6AE4"/>
    <w:rsid w:val="00EC7F1F"/>
    <w:rsid w:val="00ED01DC"/>
    <w:rsid w:val="00ED2264"/>
    <w:rsid w:val="00EF1F6A"/>
    <w:rsid w:val="00EF7892"/>
    <w:rsid w:val="00F034D0"/>
    <w:rsid w:val="00F0710A"/>
    <w:rsid w:val="00F2231C"/>
    <w:rsid w:val="00F27B88"/>
    <w:rsid w:val="00F45E36"/>
    <w:rsid w:val="00F467D8"/>
    <w:rsid w:val="00F665F4"/>
    <w:rsid w:val="00F849F0"/>
    <w:rsid w:val="00FC389C"/>
    <w:rsid w:val="00FD2273"/>
    <w:rsid w:val="00FD33C2"/>
    <w:rsid w:val="00FE26DB"/>
    <w:rsid w:val="00FE53C4"/>
    <w:rsid w:val="00FF3E1F"/>
    <w:rsid w:val="011B7573"/>
    <w:rsid w:val="0133515C"/>
    <w:rsid w:val="01955B64"/>
    <w:rsid w:val="01991D03"/>
    <w:rsid w:val="019A5D6B"/>
    <w:rsid w:val="021110A5"/>
    <w:rsid w:val="02874E19"/>
    <w:rsid w:val="02C136E0"/>
    <w:rsid w:val="03061456"/>
    <w:rsid w:val="033120A9"/>
    <w:rsid w:val="03AF010E"/>
    <w:rsid w:val="043A35D9"/>
    <w:rsid w:val="04642FA3"/>
    <w:rsid w:val="04F008C5"/>
    <w:rsid w:val="05003798"/>
    <w:rsid w:val="05092C51"/>
    <w:rsid w:val="063157E2"/>
    <w:rsid w:val="086A33DC"/>
    <w:rsid w:val="08B66FA6"/>
    <w:rsid w:val="09523172"/>
    <w:rsid w:val="096C7AA3"/>
    <w:rsid w:val="09FA4EEC"/>
    <w:rsid w:val="09FC4A10"/>
    <w:rsid w:val="0A0B5B41"/>
    <w:rsid w:val="0A696248"/>
    <w:rsid w:val="0AA572D2"/>
    <w:rsid w:val="0C7451AE"/>
    <w:rsid w:val="0D5E0873"/>
    <w:rsid w:val="0E034C9C"/>
    <w:rsid w:val="0E2D3A12"/>
    <w:rsid w:val="0F5273EA"/>
    <w:rsid w:val="0FD20B69"/>
    <w:rsid w:val="1077526D"/>
    <w:rsid w:val="10897BD2"/>
    <w:rsid w:val="1097590F"/>
    <w:rsid w:val="109B7BB5"/>
    <w:rsid w:val="10B25752"/>
    <w:rsid w:val="10E36DA6"/>
    <w:rsid w:val="12CA4A00"/>
    <w:rsid w:val="13021166"/>
    <w:rsid w:val="1369609A"/>
    <w:rsid w:val="13936861"/>
    <w:rsid w:val="13B23795"/>
    <w:rsid w:val="13BC1318"/>
    <w:rsid w:val="13E42C19"/>
    <w:rsid w:val="14E64E03"/>
    <w:rsid w:val="14F91DBC"/>
    <w:rsid w:val="152E260D"/>
    <w:rsid w:val="15353A71"/>
    <w:rsid w:val="15C22DC5"/>
    <w:rsid w:val="1720665E"/>
    <w:rsid w:val="175477EA"/>
    <w:rsid w:val="17577A16"/>
    <w:rsid w:val="17B84AE8"/>
    <w:rsid w:val="181E4997"/>
    <w:rsid w:val="18684D8F"/>
    <w:rsid w:val="18B21538"/>
    <w:rsid w:val="192E637E"/>
    <w:rsid w:val="1A0B572D"/>
    <w:rsid w:val="1A361CF4"/>
    <w:rsid w:val="1B2119BC"/>
    <w:rsid w:val="1BB630ED"/>
    <w:rsid w:val="1C237D92"/>
    <w:rsid w:val="1C542906"/>
    <w:rsid w:val="1C554CE5"/>
    <w:rsid w:val="1CCA747B"/>
    <w:rsid w:val="1D2B409B"/>
    <w:rsid w:val="1D855C9C"/>
    <w:rsid w:val="1D8D4321"/>
    <w:rsid w:val="1E152B45"/>
    <w:rsid w:val="1E580955"/>
    <w:rsid w:val="1E6E4153"/>
    <w:rsid w:val="1FBB5E46"/>
    <w:rsid w:val="20A02309"/>
    <w:rsid w:val="20CC1762"/>
    <w:rsid w:val="216D5183"/>
    <w:rsid w:val="21A764AB"/>
    <w:rsid w:val="21DE7835"/>
    <w:rsid w:val="22113318"/>
    <w:rsid w:val="226B2757"/>
    <w:rsid w:val="22711B11"/>
    <w:rsid w:val="23A6613D"/>
    <w:rsid w:val="23E413F0"/>
    <w:rsid w:val="24002CCB"/>
    <w:rsid w:val="24736E87"/>
    <w:rsid w:val="25135161"/>
    <w:rsid w:val="253D6F72"/>
    <w:rsid w:val="259A7ABD"/>
    <w:rsid w:val="260467BD"/>
    <w:rsid w:val="264A22F7"/>
    <w:rsid w:val="26591245"/>
    <w:rsid w:val="26C80178"/>
    <w:rsid w:val="26E17871"/>
    <w:rsid w:val="26F65A1C"/>
    <w:rsid w:val="278C73F8"/>
    <w:rsid w:val="2806423E"/>
    <w:rsid w:val="2893354B"/>
    <w:rsid w:val="28AA3FD9"/>
    <w:rsid w:val="29323FCF"/>
    <w:rsid w:val="29564528"/>
    <w:rsid w:val="29924C31"/>
    <w:rsid w:val="299C5AE8"/>
    <w:rsid w:val="29DB4666"/>
    <w:rsid w:val="29E95581"/>
    <w:rsid w:val="2A0F6AD9"/>
    <w:rsid w:val="2AFE142F"/>
    <w:rsid w:val="2B200C9C"/>
    <w:rsid w:val="2B623D8D"/>
    <w:rsid w:val="2BAA2542"/>
    <w:rsid w:val="2BBA3F66"/>
    <w:rsid w:val="2C553DB7"/>
    <w:rsid w:val="2C771EB1"/>
    <w:rsid w:val="2C8E15B2"/>
    <w:rsid w:val="2CA5019D"/>
    <w:rsid w:val="2CCC3583"/>
    <w:rsid w:val="2D35408E"/>
    <w:rsid w:val="2E20089A"/>
    <w:rsid w:val="2E3A4621"/>
    <w:rsid w:val="2F1C3F12"/>
    <w:rsid w:val="3069477A"/>
    <w:rsid w:val="309167BF"/>
    <w:rsid w:val="30A2776E"/>
    <w:rsid w:val="30BB788A"/>
    <w:rsid w:val="31727460"/>
    <w:rsid w:val="31D139E8"/>
    <w:rsid w:val="32312769"/>
    <w:rsid w:val="32767323"/>
    <w:rsid w:val="32FF4F22"/>
    <w:rsid w:val="33442AC9"/>
    <w:rsid w:val="33542AF6"/>
    <w:rsid w:val="33574D5E"/>
    <w:rsid w:val="33B55397"/>
    <w:rsid w:val="34075AF7"/>
    <w:rsid w:val="3504770B"/>
    <w:rsid w:val="363A58F9"/>
    <w:rsid w:val="364D7F7D"/>
    <w:rsid w:val="3657397F"/>
    <w:rsid w:val="36DB7A54"/>
    <w:rsid w:val="3763770C"/>
    <w:rsid w:val="37CD1A92"/>
    <w:rsid w:val="37F029E6"/>
    <w:rsid w:val="38277F31"/>
    <w:rsid w:val="38630CF6"/>
    <w:rsid w:val="389068AA"/>
    <w:rsid w:val="3A4F53DB"/>
    <w:rsid w:val="3B556027"/>
    <w:rsid w:val="3BED2772"/>
    <w:rsid w:val="3D7B7ECC"/>
    <w:rsid w:val="3DCA6313"/>
    <w:rsid w:val="3DE76F7E"/>
    <w:rsid w:val="3DF661A8"/>
    <w:rsid w:val="3E0B6E71"/>
    <w:rsid w:val="3E11065C"/>
    <w:rsid w:val="3EBB66AC"/>
    <w:rsid w:val="3EDF28B3"/>
    <w:rsid w:val="3FA35F42"/>
    <w:rsid w:val="40302BBE"/>
    <w:rsid w:val="419E1666"/>
    <w:rsid w:val="42E61D7B"/>
    <w:rsid w:val="43110125"/>
    <w:rsid w:val="437E6337"/>
    <w:rsid w:val="45611A6C"/>
    <w:rsid w:val="45F92B47"/>
    <w:rsid w:val="462C18BF"/>
    <w:rsid w:val="46697483"/>
    <w:rsid w:val="46817943"/>
    <w:rsid w:val="46B307A7"/>
    <w:rsid w:val="49180FB1"/>
    <w:rsid w:val="4AFE4179"/>
    <w:rsid w:val="4B2772B4"/>
    <w:rsid w:val="4C5A0C15"/>
    <w:rsid w:val="4C772E82"/>
    <w:rsid w:val="4CEB6D16"/>
    <w:rsid w:val="4DF57414"/>
    <w:rsid w:val="4F5E53C7"/>
    <w:rsid w:val="51AB50F9"/>
    <w:rsid w:val="51C94C21"/>
    <w:rsid w:val="51FA0B6F"/>
    <w:rsid w:val="52100317"/>
    <w:rsid w:val="524E3378"/>
    <w:rsid w:val="52CF6267"/>
    <w:rsid w:val="532E49BF"/>
    <w:rsid w:val="53CD346F"/>
    <w:rsid w:val="544A7543"/>
    <w:rsid w:val="548F73E1"/>
    <w:rsid w:val="54DF6509"/>
    <w:rsid w:val="55464289"/>
    <w:rsid w:val="55F36710"/>
    <w:rsid w:val="570E26ED"/>
    <w:rsid w:val="57632AF2"/>
    <w:rsid w:val="57A80FD1"/>
    <w:rsid w:val="57FD5624"/>
    <w:rsid w:val="585A4E5B"/>
    <w:rsid w:val="587D7E5A"/>
    <w:rsid w:val="59D6437F"/>
    <w:rsid w:val="5A325C4A"/>
    <w:rsid w:val="5A5A794E"/>
    <w:rsid w:val="5A726B96"/>
    <w:rsid w:val="5BAE03E1"/>
    <w:rsid w:val="5BCC567A"/>
    <w:rsid w:val="5C42170A"/>
    <w:rsid w:val="5D247115"/>
    <w:rsid w:val="5D75228F"/>
    <w:rsid w:val="5D9C6E87"/>
    <w:rsid w:val="5E4D2FEF"/>
    <w:rsid w:val="60D040EA"/>
    <w:rsid w:val="610408BD"/>
    <w:rsid w:val="61B833FA"/>
    <w:rsid w:val="62774E0B"/>
    <w:rsid w:val="631E4574"/>
    <w:rsid w:val="6382349F"/>
    <w:rsid w:val="63935C4E"/>
    <w:rsid w:val="63AE02B1"/>
    <w:rsid w:val="646627A3"/>
    <w:rsid w:val="647E0D15"/>
    <w:rsid w:val="64C86FBA"/>
    <w:rsid w:val="65481949"/>
    <w:rsid w:val="658B6F7C"/>
    <w:rsid w:val="677671A1"/>
    <w:rsid w:val="68000819"/>
    <w:rsid w:val="68077DF9"/>
    <w:rsid w:val="684706E8"/>
    <w:rsid w:val="688B27D8"/>
    <w:rsid w:val="6922653C"/>
    <w:rsid w:val="692914AF"/>
    <w:rsid w:val="692F7608"/>
    <w:rsid w:val="6A48221F"/>
    <w:rsid w:val="6AF827CD"/>
    <w:rsid w:val="6BB02E29"/>
    <w:rsid w:val="6BD82A45"/>
    <w:rsid w:val="6C040352"/>
    <w:rsid w:val="6C973076"/>
    <w:rsid w:val="6D225D84"/>
    <w:rsid w:val="6D5913A0"/>
    <w:rsid w:val="6D8D6129"/>
    <w:rsid w:val="6E5D23A8"/>
    <w:rsid w:val="6E9F59F2"/>
    <w:rsid w:val="6F1B2371"/>
    <w:rsid w:val="6F653C3E"/>
    <w:rsid w:val="706000AF"/>
    <w:rsid w:val="718B55F7"/>
    <w:rsid w:val="71C64881"/>
    <w:rsid w:val="724675F0"/>
    <w:rsid w:val="7299006D"/>
    <w:rsid w:val="732272DA"/>
    <w:rsid w:val="73273432"/>
    <w:rsid w:val="734B14E2"/>
    <w:rsid w:val="744F7DE5"/>
    <w:rsid w:val="74956EB9"/>
    <w:rsid w:val="74FC6F38"/>
    <w:rsid w:val="75526B58"/>
    <w:rsid w:val="75AE25D4"/>
    <w:rsid w:val="75D74C81"/>
    <w:rsid w:val="76570D4B"/>
    <w:rsid w:val="769C7C7E"/>
    <w:rsid w:val="76E47DE4"/>
    <w:rsid w:val="774E7F01"/>
    <w:rsid w:val="77625FC5"/>
    <w:rsid w:val="78784DE1"/>
    <w:rsid w:val="78A55155"/>
    <w:rsid w:val="78FF7F9F"/>
    <w:rsid w:val="79507852"/>
    <w:rsid w:val="79B600BB"/>
    <w:rsid w:val="79E2472F"/>
    <w:rsid w:val="79E461EC"/>
    <w:rsid w:val="7A0B71BE"/>
    <w:rsid w:val="7A5504B7"/>
    <w:rsid w:val="7A5C3866"/>
    <w:rsid w:val="7B3E36DA"/>
    <w:rsid w:val="7B594BFB"/>
    <w:rsid w:val="7B5D0004"/>
    <w:rsid w:val="7C3074C7"/>
    <w:rsid w:val="7D075FEF"/>
    <w:rsid w:val="7D1B10A3"/>
    <w:rsid w:val="7DD722F0"/>
    <w:rsid w:val="7E124581"/>
    <w:rsid w:val="7E221091"/>
    <w:rsid w:val="7E284572"/>
    <w:rsid w:val="7E7E50B5"/>
    <w:rsid w:val="7EB97C47"/>
    <w:rsid w:val="7F2B375E"/>
    <w:rsid w:val="7F9B10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9"/>
    <w:autoRedefine/>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link w:val="20"/>
    <w:autoRedefine/>
    <w:unhideWhenUsed/>
    <w:qFormat/>
    <w:uiPriority w:val="0"/>
    <w:pPr>
      <w:ind w:firstLine="420" w:firstLineChars="200"/>
    </w:pPr>
    <w:rPr>
      <w:lang w:val="en-GB"/>
    </w:rPr>
  </w:style>
  <w:style w:type="paragraph" w:styleId="4">
    <w:name w:val="Body Text Indent"/>
    <w:basedOn w:val="1"/>
    <w:link w:val="22"/>
    <w:autoRedefine/>
    <w:qFormat/>
    <w:uiPriority w:val="99"/>
    <w:pPr>
      <w:spacing w:after="120"/>
      <w:ind w:left="420" w:leftChars="200"/>
    </w:pPr>
    <w:rPr>
      <w:rFonts w:ascii="Times New Roman" w:hAnsi="Times New Roman" w:eastAsia="宋体" w:cs="Times New Roman"/>
      <w:kern w:val="0"/>
      <w:sz w:val="20"/>
      <w:szCs w:val="24"/>
    </w:rPr>
  </w:style>
  <w:style w:type="paragraph" w:styleId="5">
    <w:name w:val="Balloon Text"/>
    <w:basedOn w:val="1"/>
    <w:link w:val="26"/>
    <w:autoRedefine/>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styleId="13">
    <w:name w:val="FollowedHyperlink"/>
    <w:basedOn w:val="11"/>
    <w:autoRedefine/>
    <w:semiHidden/>
    <w:unhideWhenUsed/>
    <w:qFormat/>
    <w:uiPriority w:val="99"/>
    <w:rPr>
      <w:color w:val="954F72" w:themeColor="followedHyperlink"/>
      <w:u w:val="single"/>
      <w14:textFill>
        <w14:solidFill>
          <w14:schemeClr w14:val="folHlink"/>
        </w14:solidFill>
      </w14:textFill>
    </w:rPr>
  </w:style>
  <w:style w:type="character" w:styleId="14">
    <w:name w:val="Emphasis"/>
    <w:basedOn w:val="11"/>
    <w:autoRedefine/>
    <w:qFormat/>
    <w:uiPriority w:val="20"/>
    <w:rPr>
      <w:i/>
      <w:iCs/>
    </w:rPr>
  </w:style>
  <w:style w:type="character" w:styleId="15">
    <w:name w:val="Hyperlink"/>
    <w:basedOn w:val="11"/>
    <w:autoRedefine/>
    <w:unhideWhenUsed/>
    <w:qFormat/>
    <w:uiPriority w:val="99"/>
    <w:rPr>
      <w:color w:val="0000FF"/>
      <w:u w:val="single"/>
    </w:rPr>
  </w:style>
  <w:style w:type="character" w:customStyle="1" w:styleId="16">
    <w:name w:val="页眉 字符"/>
    <w:basedOn w:val="11"/>
    <w:link w:val="7"/>
    <w:autoRedefine/>
    <w:qFormat/>
    <w:uiPriority w:val="99"/>
    <w:rPr>
      <w:sz w:val="18"/>
      <w:szCs w:val="18"/>
    </w:rPr>
  </w:style>
  <w:style w:type="character" w:customStyle="1" w:styleId="17">
    <w:name w:val="页脚 字符"/>
    <w:basedOn w:val="11"/>
    <w:link w:val="6"/>
    <w:autoRedefine/>
    <w:qFormat/>
    <w:uiPriority w:val="99"/>
    <w:rPr>
      <w:sz w:val="18"/>
      <w:szCs w:val="18"/>
    </w:rPr>
  </w:style>
  <w:style w:type="character" w:customStyle="1" w:styleId="18">
    <w:name w:val="未处理的提及1"/>
    <w:basedOn w:val="11"/>
    <w:autoRedefine/>
    <w:semiHidden/>
    <w:unhideWhenUsed/>
    <w:qFormat/>
    <w:uiPriority w:val="99"/>
    <w:rPr>
      <w:color w:val="605E5C"/>
      <w:shd w:val="clear" w:color="auto" w:fill="E1DFDD"/>
    </w:rPr>
  </w:style>
  <w:style w:type="character" w:customStyle="1" w:styleId="19">
    <w:name w:val="标题 3 字符"/>
    <w:basedOn w:val="11"/>
    <w:link w:val="2"/>
    <w:autoRedefine/>
    <w:semiHidden/>
    <w:qFormat/>
    <w:uiPriority w:val="9"/>
    <w:rPr>
      <w:b/>
      <w:bCs/>
      <w:sz w:val="32"/>
      <w:szCs w:val="32"/>
    </w:rPr>
  </w:style>
  <w:style w:type="character" w:customStyle="1" w:styleId="20">
    <w:name w:val="正文缩进 字符"/>
    <w:link w:val="3"/>
    <w:autoRedefine/>
    <w:qFormat/>
    <w:uiPriority w:val="0"/>
    <w:rPr>
      <w:lang w:val="en-GB"/>
    </w:rPr>
  </w:style>
  <w:style w:type="paragraph" w:customStyle="1" w:styleId="21">
    <w:name w:val="List Paragraph1"/>
    <w:basedOn w:val="1"/>
    <w:autoRedefine/>
    <w:qFormat/>
    <w:uiPriority w:val="0"/>
    <w:pPr>
      <w:widowControl/>
      <w:ind w:firstLine="420" w:firstLineChars="200"/>
      <w:jc w:val="left"/>
    </w:pPr>
    <w:rPr>
      <w:rFonts w:ascii="Times New Roman" w:hAnsi="Times New Roman" w:eastAsia="宋体" w:cs="Times New Roman"/>
      <w:kern w:val="0"/>
      <w:sz w:val="20"/>
      <w:szCs w:val="20"/>
    </w:rPr>
  </w:style>
  <w:style w:type="character" w:customStyle="1" w:styleId="22">
    <w:name w:val="正文文本缩进 字符"/>
    <w:basedOn w:val="11"/>
    <w:link w:val="4"/>
    <w:autoRedefine/>
    <w:qFormat/>
    <w:uiPriority w:val="99"/>
    <w:rPr>
      <w:rFonts w:ascii="Times New Roman" w:hAnsi="Times New Roman" w:eastAsia="宋体" w:cs="Times New Roman"/>
      <w:kern w:val="0"/>
      <w:sz w:val="20"/>
      <w:szCs w:val="24"/>
    </w:rPr>
  </w:style>
  <w:style w:type="paragraph" w:customStyle="1" w:styleId="23">
    <w:name w:val="m_正文"/>
    <w:basedOn w:val="1"/>
    <w:link w:val="24"/>
    <w:autoRedefine/>
    <w:qFormat/>
    <w:uiPriority w:val="0"/>
    <w:pPr>
      <w:spacing w:line="360" w:lineRule="auto"/>
    </w:pPr>
    <w:rPr>
      <w:rFonts w:ascii="Times New Roman" w:hAnsi="Times New Roman" w:eastAsia="宋体" w:cs="Times New Roman"/>
      <w:kern w:val="0"/>
      <w:sz w:val="24"/>
      <w:szCs w:val="24"/>
    </w:rPr>
  </w:style>
  <w:style w:type="character" w:customStyle="1" w:styleId="24">
    <w:name w:val="m_正文 Char"/>
    <w:link w:val="23"/>
    <w:autoRedefine/>
    <w:qFormat/>
    <w:locked/>
    <w:uiPriority w:val="0"/>
    <w:rPr>
      <w:rFonts w:ascii="Times New Roman" w:hAnsi="Times New Roman" w:eastAsia="宋体" w:cs="Times New Roman"/>
      <w:kern w:val="0"/>
      <w:sz w:val="24"/>
      <w:szCs w:val="24"/>
    </w:rPr>
  </w:style>
  <w:style w:type="paragraph" w:customStyle="1" w:styleId="25">
    <w:name w:val="Default"/>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6">
    <w:name w:val="批注框文本 字符"/>
    <w:basedOn w:val="11"/>
    <w:link w:val="5"/>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3320</Words>
  <Characters>4056</Characters>
  <Lines>33</Lines>
  <Paragraphs>9</Paragraphs>
  <TotalTime>116</TotalTime>
  <ScaleCrop>false</ScaleCrop>
  <LinksUpToDate>false</LinksUpToDate>
  <CharactersWithSpaces>4100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2024-04-09T01:18:00Z</dcterms:created>
  <dc:creator>Li Yu</dc:creator>
  <cp:lastModifiedBy>木木小仙</cp:lastModifiedBy>
  <cp:lastPrinted>2025-05-07T08:35:00Z</cp:lastPrinted>
  <dcterms:modified xsi:type="dcterms:W3CDTF">2025-05-13T00:57:34Z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96ABA8816A874EEDA34B94FF0C2C949D_12</vt:lpwstr>
  </property>
  <property fmtid="{D5CDD505-2E9C-101B-9397-08002B2CF9AE}" pid="4" name="KSOTemplateDocerSaveRecord">
    <vt:lpwstr>eyJoZGlkIjoiZmZlMjQzNTIwYWQ2YTU5NzIxZmM1OTdkZjM2YmJjNTEiLCJ1c2VySWQiOiIxNTA5NDk0NTE4In0=</vt:lpwstr>
  </property>
</Properties>
</file>